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1C0BEF"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1C0BEF" w:rsidTr="005F7F7E">
        <w:tc>
          <w:tcPr>
            <w:tcW w:w="2438" w:type="dxa"/>
            <w:shd w:val="clear" w:color="auto" w:fill="auto"/>
          </w:tcPr>
          <w:p w:rsidR="00F445B1" w:rsidRPr="001C0BEF" w:rsidRDefault="00F445B1" w:rsidP="004A6D2F">
            <w:pPr>
              <w:rPr>
                <w:rStyle w:val="Firstpagetablebold"/>
              </w:rPr>
            </w:pPr>
            <w:r w:rsidRPr="001C0BEF">
              <w:rPr>
                <w:rStyle w:val="Firstpagetablebold"/>
              </w:rPr>
              <w:t>To</w:t>
            </w:r>
            <w:r w:rsidR="005C35A5" w:rsidRPr="001C0BEF">
              <w:rPr>
                <w:rStyle w:val="Firstpagetablebold"/>
              </w:rPr>
              <w:t>:</w:t>
            </w:r>
          </w:p>
        </w:tc>
        <w:tc>
          <w:tcPr>
            <w:tcW w:w="6406" w:type="dxa"/>
            <w:shd w:val="clear" w:color="auto" w:fill="auto"/>
          </w:tcPr>
          <w:p w:rsidR="00F445B1" w:rsidRPr="001C0BEF" w:rsidRDefault="00F445B1" w:rsidP="004A6D2F">
            <w:pPr>
              <w:rPr>
                <w:rStyle w:val="Firstpagetablebold"/>
              </w:rPr>
            </w:pPr>
            <w:r w:rsidRPr="001C0BEF">
              <w:rPr>
                <w:rStyle w:val="Firstpagetablebold"/>
              </w:rPr>
              <w:t>City Executive Board</w:t>
            </w:r>
          </w:p>
        </w:tc>
      </w:tr>
      <w:tr w:rsidR="00CE544A" w:rsidRPr="001C0BEF" w:rsidTr="005F7F7E">
        <w:tc>
          <w:tcPr>
            <w:tcW w:w="2438" w:type="dxa"/>
            <w:shd w:val="clear" w:color="auto" w:fill="auto"/>
          </w:tcPr>
          <w:p w:rsidR="00F445B1" w:rsidRPr="001C0BEF" w:rsidRDefault="00F445B1" w:rsidP="004A6D2F">
            <w:pPr>
              <w:rPr>
                <w:rStyle w:val="Firstpagetablebold"/>
              </w:rPr>
            </w:pPr>
            <w:r w:rsidRPr="001C0BEF">
              <w:rPr>
                <w:rStyle w:val="Firstpagetablebold"/>
              </w:rPr>
              <w:t>Dat</w:t>
            </w:r>
            <w:r w:rsidR="005C35A5" w:rsidRPr="001C0BEF">
              <w:rPr>
                <w:rStyle w:val="Firstpagetablebold"/>
              </w:rPr>
              <w:t>e:</w:t>
            </w:r>
          </w:p>
        </w:tc>
        <w:tc>
          <w:tcPr>
            <w:tcW w:w="6406" w:type="dxa"/>
            <w:shd w:val="clear" w:color="auto" w:fill="auto"/>
          </w:tcPr>
          <w:p w:rsidR="00F445B1" w:rsidRPr="001C0BEF" w:rsidRDefault="00680620" w:rsidP="005D0621">
            <w:pPr>
              <w:rPr>
                <w:b/>
              </w:rPr>
            </w:pPr>
            <w:r w:rsidRPr="001C0BEF">
              <w:rPr>
                <w:rStyle w:val="Firstpagetablebold"/>
              </w:rPr>
              <w:t>15 December 2016</w:t>
            </w:r>
          </w:p>
        </w:tc>
      </w:tr>
      <w:tr w:rsidR="00CE544A" w:rsidRPr="001C0BEF" w:rsidTr="005F7F7E">
        <w:tc>
          <w:tcPr>
            <w:tcW w:w="2438" w:type="dxa"/>
            <w:shd w:val="clear" w:color="auto" w:fill="auto"/>
          </w:tcPr>
          <w:p w:rsidR="00F445B1" w:rsidRPr="001C0BEF" w:rsidRDefault="00F445B1" w:rsidP="004A6D2F">
            <w:pPr>
              <w:rPr>
                <w:rStyle w:val="Firstpagetablebold"/>
              </w:rPr>
            </w:pPr>
            <w:r w:rsidRPr="001C0BEF">
              <w:rPr>
                <w:rStyle w:val="Firstpagetablebold"/>
              </w:rPr>
              <w:t>Report of</w:t>
            </w:r>
            <w:r w:rsidR="005C35A5" w:rsidRPr="001C0BEF">
              <w:rPr>
                <w:rStyle w:val="Firstpagetablebold"/>
              </w:rPr>
              <w:t>:</w:t>
            </w:r>
          </w:p>
        </w:tc>
        <w:tc>
          <w:tcPr>
            <w:tcW w:w="6406" w:type="dxa"/>
            <w:shd w:val="clear" w:color="auto" w:fill="auto"/>
          </w:tcPr>
          <w:p w:rsidR="00F445B1" w:rsidRPr="001C0BEF" w:rsidRDefault="00FD1DFA" w:rsidP="00680620">
            <w:pPr>
              <w:rPr>
                <w:rStyle w:val="Firstpagetablebold"/>
              </w:rPr>
            </w:pPr>
            <w:r w:rsidRPr="001C0BEF">
              <w:rPr>
                <w:rStyle w:val="Firstpagetablebold"/>
              </w:rPr>
              <w:t xml:space="preserve">Executive Director </w:t>
            </w:r>
            <w:r w:rsidR="00680620" w:rsidRPr="001C0BEF">
              <w:rPr>
                <w:rStyle w:val="Firstpagetablebold"/>
              </w:rPr>
              <w:t>for Organisational Development &amp; Corporate Services</w:t>
            </w:r>
          </w:p>
        </w:tc>
      </w:tr>
      <w:tr w:rsidR="00CE544A" w:rsidRPr="001C0BEF" w:rsidTr="005F7F7E">
        <w:tc>
          <w:tcPr>
            <w:tcW w:w="2438" w:type="dxa"/>
            <w:shd w:val="clear" w:color="auto" w:fill="auto"/>
          </w:tcPr>
          <w:p w:rsidR="00F445B1" w:rsidRPr="001C0BEF" w:rsidRDefault="00F445B1" w:rsidP="004A6D2F">
            <w:pPr>
              <w:rPr>
                <w:rStyle w:val="Firstpagetablebold"/>
              </w:rPr>
            </w:pPr>
            <w:r w:rsidRPr="001C0BEF">
              <w:rPr>
                <w:rStyle w:val="Firstpagetablebold"/>
              </w:rPr>
              <w:t xml:space="preserve">Title of Report: </w:t>
            </w:r>
          </w:p>
        </w:tc>
        <w:tc>
          <w:tcPr>
            <w:tcW w:w="6406" w:type="dxa"/>
            <w:shd w:val="clear" w:color="auto" w:fill="auto"/>
          </w:tcPr>
          <w:p w:rsidR="00F445B1" w:rsidRPr="001C0BEF" w:rsidRDefault="00680620" w:rsidP="004A6D2F">
            <w:pPr>
              <w:rPr>
                <w:rStyle w:val="Firstpagetablebold"/>
              </w:rPr>
            </w:pPr>
            <w:r w:rsidRPr="001C0BEF">
              <w:rPr>
                <w:rStyle w:val="Firstpagetablebold"/>
              </w:rPr>
              <w:t>Commissioned Advice Strategy from 2018</w:t>
            </w:r>
          </w:p>
        </w:tc>
      </w:tr>
    </w:tbl>
    <w:p w:rsidR="004F20EF" w:rsidRPr="001C0B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1C0BEF" w:rsidTr="0080749A">
        <w:tc>
          <w:tcPr>
            <w:tcW w:w="8845" w:type="dxa"/>
            <w:gridSpan w:val="3"/>
            <w:tcBorders>
              <w:bottom w:val="single" w:sz="8" w:space="0" w:color="000000"/>
            </w:tcBorders>
            <w:hideMark/>
          </w:tcPr>
          <w:p w:rsidR="00D5547E" w:rsidRPr="001C0BEF" w:rsidRDefault="00745BF0" w:rsidP="00745BF0">
            <w:pPr>
              <w:jc w:val="center"/>
              <w:rPr>
                <w:rStyle w:val="Firstpagetablebold"/>
              </w:rPr>
            </w:pPr>
            <w:r w:rsidRPr="001C0BEF">
              <w:rPr>
                <w:rStyle w:val="Firstpagetablebold"/>
              </w:rPr>
              <w:t>Summary and r</w:t>
            </w:r>
            <w:r w:rsidR="00D5547E" w:rsidRPr="001C0BEF">
              <w:rPr>
                <w:rStyle w:val="Firstpagetablebold"/>
              </w:rPr>
              <w:t>ecommendations</w:t>
            </w:r>
          </w:p>
        </w:tc>
      </w:tr>
      <w:tr w:rsidR="00D5547E" w:rsidRPr="001C0BEF" w:rsidTr="0080749A">
        <w:tc>
          <w:tcPr>
            <w:tcW w:w="2438" w:type="dxa"/>
            <w:gridSpan w:val="2"/>
            <w:tcBorders>
              <w:top w:val="single" w:sz="8" w:space="0" w:color="000000"/>
              <w:left w:val="single" w:sz="8" w:space="0" w:color="000000"/>
              <w:bottom w:val="nil"/>
              <w:right w:val="nil"/>
            </w:tcBorders>
            <w:hideMark/>
          </w:tcPr>
          <w:p w:rsidR="00D5547E" w:rsidRPr="001C0BEF" w:rsidRDefault="00D5547E">
            <w:pPr>
              <w:rPr>
                <w:rStyle w:val="Firstpagetablebold"/>
              </w:rPr>
            </w:pPr>
            <w:r w:rsidRPr="001C0BEF">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C0BEF" w:rsidRDefault="00680620" w:rsidP="00D204B4">
            <w:r w:rsidRPr="001C0BEF">
              <w:t xml:space="preserve">To propose a new commissioned advice </w:t>
            </w:r>
            <w:r w:rsidR="00D204B4" w:rsidRPr="001C0BEF">
              <w:t xml:space="preserve"> model</w:t>
            </w:r>
            <w:r w:rsidRPr="001C0BEF">
              <w:t xml:space="preserve"> to replace the current programme which ends on 31 March 2018</w:t>
            </w:r>
          </w:p>
        </w:tc>
      </w:tr>
      <w:tr w:rsidR="00D5547E" w:rsidRPr="001C0BEF" w:rsidTr="0080749A">
        <w:tc>
          <w:tcPr>
            <w:tcW w:w="2438" w:type="dxa"/>
            <w:gridSpan w:val="2"/>
            <w:tcBorders>
              <w:top w:val="nil"/>
              <w:left w:val="single" w:sz="8" w:space="0" w:color="000000"/>
              <w:bottom w:val="nil"/>
              <w:right w:val="nil"/>
            </w:tcBorders>
            <w:hideMark/>
          </w:tcPr>
          <w:p w:rsidR="00D5547E" w:rsidRPr="001C0BEF" w:rsidRDefault="00D5547E">
            <w:pPr>
              <w:rPr>
                <w:rStyle w:val="Firstpagetablebold"/>
              </w:rPr>
            </w:pPr>
            <w:r w:rsidRPr="001C0BEF">
              <w:rPr>
                <w:rStyle w:val="Firstpagetablebold"/>
              </w:rPr>
              <w:t>Key decision:</w:t>
            </w:r>
          </w:p>
        </w:tc>
        <w:tc>
          <w:tcPr>
            <w:tcW w:w="6407" w:type="dxa"/>
            <w:tcBorders>
              <w:top w:val="nil"/>
              <w:left w:val="nil"/>
              <w:bottom w:val="nil"/>
              <w:right w:val="single" w:sz="8" w:space="0" w:color="000000"/>
            </w:tcBorders>
            <w:hideMark/>
          </w:tcPr>
          <w:p w:rsidR="00D5547E" w:rsidRPr="001C0BEF" w:rsidRDefault="00D5547E" w:rsidP="005F7F7E">
            <w:r w:rsidRPr="001C0BEF">
              <w:t xml:space="preserve">Yes </w:t>
            </w:r>
          </w:p>
        </w:tc>
      </w:tr>
      <w:tr w:rsidR="00D5547E" w:rsidRPr="001C0BEF" w:rsidTr="0080749A">
        <w:tc>
          <w:tcPr>
            <w:tcW w:w="2438" w:type="dxa"/>
            <w:gridSpan w:val="2"/>
            <w:tcBorders>
              <w:top w:val="nil"/>
              <w:left w:val="single" w:sz="8" w:space="0" w:color="000000"/>
              <w:bottom w:val="nil"/>
              <w:right w:val="nil"/>
            </w:tcBorders>
            <w:hideMark/>
          </w:tcPr>
          <w:p w:rsidR="00D5547E" w:rsidRPr="001C0BEF" w:rsidRDefault="00D5547E">
            <w:pPr>
              <w:rPr>
                <w:rStyle w:val="Firstpagetablebold"/>
              </w:rPr>
            </w:pPr>
            <w:r w:rsidRPr="001C0BEF">
              <w:rPr>
                <w:rStyle w:val="Firstpagetablebold"/>
              </w:rPr>
              <w:t>Executive Board Member:</w:t>
            </w:r>
          </w:p>
        </w:tc>
        <w:tc>
          <w:tcPr>
            <w:tcW w:w="6407" w:type="dxa"/>
            <w:tcBorders>
              <w:top w:val="nil"/>
              <w:left w:val="nil"/>
              <w:bottom w:val="nil"/>
              <w:right w:val="single" w:sz="8" w:space="0" w:color="000000"/>
            </w:tcBorders>
            <w:hideMark/>
          </w:tcPr>
          <w:p w:rsidR="00D5547E" w:rsidRPr="001C0BEF" w:rsidRDefault="00D5547E" w:rsidP="00680620">
            <w:r w:rsidRPr="001C0BEF">
              <w:t xml:space="preserve">Councillor </w:t>
            </w:r>
            <w:r w:rsidR="00680620" w:rsidRPr="001C0BEF">
              <w:t>Susan Brown</w:t>
            </w:r>
            <w:r w:rsidRPr="001C0BEF">
              <w:t xml:space="preserve">, </w:t>
            </w:r>
            <w:r w:rsidR="00680620" w:rsidRPr="001C0BEF">
              <w:t>Customer &amp; Corporate Services</w:t>
            </w:r>
          </w:p>
        </w:tc>
      </w:tr>
      <w:tr w:rsidR="0080749A" w:rsidRPr="001C0BEF" w:rsidTr="0080749A">
        <w:tc>
          <w:tcPr>
            <w:tcW w:w="2438" w:type="dxa"/>
            <w:gridSpan w:val="2"/>
            <w:tcBorders>
              <w:top w:val="nil"/>
              <w:left w:val="single" w:sz="8" w:space="0" w:color="000000"/>
              <w:bottom w:val="nil"/>
              <w:right w:val="nil"/>
            </w:tcBorders>
          </w:tcPr>
          <w:p w:rsidR="0080749A" w:rsidRPr="001C0BEF" w:rsidRDefault="0080749A">
            <w:pPr>
              <w:rPr>
                <w:rStyle w:val="Firstpagetablebold"/>
              </w:rPr>
            </w:pPr>
            <w:r w:rsidRPr="001C0BEF">
              <w:rPr>
                <w:rStyle w:val="Firstpagetablebold"/>
              </w:rPr>
              <w:t>Corporate Priority:</w:t>
            </w:r>
          </w:p>
        </w:tc>
        <w:tc>
          <w:tcPr>
            <w:tcW w:w="6407" w:type="dxa"/>
            <w:tcBorders>
              <w:top w:val="nil"/>
              <w:left w:val="nil"/>
              <w:bottom w:val="nil"/>
              <w:right w:val="single" w:sz="8" w:space="0" w:color="000000"/>
            </w:tcBorders>
          </w:tcPr>
          <w:p w:rsidR="0080749A" w:rsidRPr="001C0BEF" w:rsidRDefault="00680620" w:rsidP="005F7F7E">
            <w:r w:rsidRPr="001C0BEF">
              <w:t>An efficient and effective council, strong and active communities</w:t>
            </w:r>
          </w:p>
        </w:tc>
      </w:tr>
      <w:tr w:rsidR="00D5547E" w:rsidRPr="001C0BEF" w:rsidTr="0080749A">
        <w:tc>
          <w:tcPr>
            <w:tcW w:w="2438" w:type="dxa"/>
            <w:gridSpan w:val="2"/>
            <w:tcBorders>
              <w:top w:val="nil"/>
              <w:left w:val="single" w:sz="8" w:space="0" w:color="000000"/>
              <w:bottom w:val="nil"/>
              <w:right w:val="nil"/>
            </w:tcBorders>
            <w:hideMark/>
          </w:tcPr>
          <w:p w:rsidR="00D5547E" w:rsidRPr="001C0BEF" w:rsidRDefault="00D5547E">
            <w:pPr>
              <w:rPr>
                <w:rStyle w:val="Firstpagetablebold"/>
              </w:rPr>
            </w:pPr>
            <w:r w:rsidRPr="001C0BEF">
              <w:rPr>
                <w:rStyle w:val="Firstpagetablebold"/>
              </w:rPr>
              <w:t>Policy Framework:</w:t>
            </w:r>
          </w:p>
        </w:tc>
        <w:tc>
          <w:tcPr>
            <w:tcW w:w="6407" w:type="dxa"/>
            <w:tcBorders>
              <w:top w:val="nil"/>
              <w:left w:val="nil"/>
              <w:bottom w:val="nil"/>
              <w:right w:val="single" w:sz="8" w:space="0" w:color="000000"/>
            </w:tcBorders>
            <w:hideMark/>
          </w:tcPr>
          <w:p w:rsidR="00D5547E" w:rsidRPr="001C0BEF" w:rsidRDefault="00680620" w:rsidP="00680620">
            <w:r w:rsidRPr="001C0BEF">
              <w:t>Financial Inclusion Strategy</w:t>
            </w:r>
            <w:r w:rsidR="00D5547E" w:rsidRPr="001C0BEF">
              <w:t>.</w:t>
            </w:r>
          </w:p>
        </w:tc>
      </w:tr>
      <w:tr w:rsidR="005F7F7E" w:rsidRPr="001C0BEF" w:rsidTr="00A46E98">
        <w:trPr>
          <w:trHeight w:val="413"/>
        </w:trPr>
        <w:tc>
          <w:tcPr>
            <w:tcW w:w="8845" w:type="dxa"/>
            <w:gridSpan w:val="3"/>
            <w:tcBorders>
              <w:bottom w:val="single" w:sz="8" w:space="0" w:color="000000"/>
            </w:tcBorders>
          </w:tcPr>
          <w:p w:rsidR="005F7F7E" w:rsidRPr="001C0BEF" w:rsidRDefault="005F7F7E" w:rsidP="004A6D2F">
            <w:r w:rsidRPr="001C0BEF">
              <w:rPr>
                <w:rStyle w:val="Firstpagetablebold"/>
              </w:rPr>
              <w:t>Recommendation(s):</w:t>
            </w:r>
            <w:r w:rsidRPr="004D676F">
              <w:rPr>
                <w:rStyle w:val="Firstpagetablebold"/>
                <w:b w:val="0"/>
              </w:rPr>
              <w:t>That the City Executive Board resolves to:</w:t>
            </w:r>
          </w:p>
        </w:tc>
      </w:tr>
      <w:tr w:rsidR="0030208D" w:rsidRPr="001C0BEF" w:rsidTr="009F6F72">
        <w:trPr>
          <w:trHeight w:val="283"/>
        </w:trPr>
        <w:tc>
          <w:tcPr>
            <w:tcW w:w="426" w:type="dxa"/>
            <w:tcBorders>
              <w:top w:val="single" w:sz="8" w:space="0" w:color="000000"/>
              <w:left w:val="single" w:sz="8" w:space="0" w:color="000000"/>
              <w:bottom w:val="nil"/>
              <w:right w:val="nil"/>
            </w:tcBorders>
          </w:tcPr>
          <w:p w:rsidR="0030208D" w:rsidRPr="001C0BEF" w:rsidRDefault="00046D2B" w:rsidP="004A6D2F">
            <w:r w:rsidRPr="001C0BEF">
              <w:t>1.</w:t>
            </w:r>
          </w:p>
        </w:tc>
        <w:tc>
          <w:tcPr>
            <w:tcW w:w="8419" w:type="dxa"/>
            <w:gridSpan w:val="2"/>
            <w:tcBorders>
              <w:top w:val="single" w:sz="8" w:space="0" w:color="000000"/>
              <w:left w:val="nil"/>
              <w:bottom w:val="nil"/>
              <w:right w:val="single" w:sz="8" w:space="0" w:color="000000"/>
            </w:tcBorders>
            <w:shd w:val="clear" w:color="auto" w:fill="auto"/>
          </w:tcPr>
          <w:p w:rsidR="0030208D" w:rsidRPr="001C0BEF" w:rsidRDefault="00763853" w:rsidP="004D676F">
            <w:r w:rsidRPr="001C0BEF">
              <w:rPr>
                <w:rStyle w:val="Firstpagetablebold"/>
              </w:rPr>
              <w:t xml:space="preserve">Agree </w:t>
            </w:r>
            <w:r w:rsidRPr="009F6F72">
              <w:rPr>
                <w:rStyle w:val="Firstpagetablebold"/>
                <w:b w:val="0"/>
              </w:rPr>
              <w:t>t</w:t>
            </w:r>
            <w:r w:rsidR="004D676F">
              <w:rPr>
                <w:rStyle w:val="Firstpagetablebold"/>
                <w:b w:val="0"/>
              </w:rPr>
              <w:t>o</w:t>
            </w:r>
            <w:r w:rsidRPr="009F6F72">
              <w:rPr>
                <w:rStyle w:val="Firstpagetablebold"/>
                <w:b w:val="0"/>
              </w:rPr>
              <w:t xml:space="preserve"> f</w:t>
            </w:r>
            <w:r w:rsidR="00680620" w:rsidRPr="009F6F72">
              <w:rPr>
                <w:rStyle w:val="Firstpagetablebold"/>
                <w:b w:val="0"/>
              </w:rPr>
              <w:t>ormally commission advice services from 2018</w:t>
            </w:r>
          </w:p>
        </w:tc>
      </w:tr>
      <w:tr w:rsidR="0030208D" w:rsidRPr="001C0BEF" w:rsidTr="009F6F72">
        <w:trPr>
          <w:trHeight w:val="283"/>
        </w:trPr>
        <w:tc>
          <w:tcPr>
            <w:tcW w:w="426" w:type="dxa"/>
            <w:tcBorders>
              <w:top w:val="nil"/>
              <w:left w:val="single" w:sz="8" w:space="0" w:color="000000"/>
              <w:bottom w:val="single" w:sz="4" w:space="0" w:color="auto"/>
              <w:right w:val="nil"/>
            </w:tcBorders>
          </w:tcPr>
          <w:p w:rsidR="0030208D" w:rsidRPr="001C0BEF" w:rsidRDefault="00046D2B" w:rsidP="004A6D2F">
            <w:r w:rsidRPr="001C0BEF">
              <w:t>2.</w:t>
            </w:r>
          </w:p>
        </w:tc>
        <w:tc>
          <w:tcPr>
            <w:tcW w:w="8419" w:type="dxa"/>
            <w:gridSpan w:val="2"/>
            <w:tcBorders>
              <w:top w:val="nil"/>
              <w:left w:val="nil"/>
              <w:bottom w:val="single" w:sz="4" w:space="0" w:color="auto"/>
              <w:right w:val="single" w:sz="8" w:space="0" w:color="000000"/>
            </w:tcBorders>
            <w:shd w:val="clear" w:color="auto" w:fill="auto"/>
          </w:tcPr>
          <w:p w:rsidR="0030208D" w:rsidRPr="001C0BEF" w:rsidRDefault="00680620" w:rsidP="00B72A15">
            <w:r w:rsidRPr="001C0BEF">
              <w:rPr>
                <w:rStyle w:val="Firstpagetablebold"/>
              </w:rPr>
              <w:t>A</w:t>
            </w:r>
            <w:r w:rsidR="005F49C0" w:rsidRPr="001C0BEF">
              <w:rPr>
                <w:rStyle w:val="Firstpagetablebold"/>
              </w:rPr>
              <w:t>gree</w:t>
            </w:r>
            <w:r w:rsidRPr="001C0BEF">
              <w:rPr>
                <w:rStyle w:val="Firstpagetablebold"/>
              </w:rPr>
              <w:t xml:space="preserve"> </w:t>
            </w:r>
            <w:r w:rsidRPr="009F6F72">
              <w:rPr>
                <w:rStyle w:val="Firstpagetablebold"/>
                <w:b w:val="0"/>
              </w:rPr>
              <w:t>the approach for developing the service specification</w:t>
            </w:r>
            <w:r w:rsidR="005F49C0" w:rsidRPr="009F6F72">
              <w:rPr>
                <w:rStyle w:val="Firstpagetablebold"/>
                <w:b w:val="0"/>
              </w:rPr>
              <w:t xml:space="preserve"> as set out in paras </w:t>
            </w:r>
            <w:r w:rsidR="00B72A15" w:rsidRPr="009F6F72">
              <w:rPr>
                <w:rStyle w:val="Firstpagetablebold"/>
                <w:b w:val="0"/>
              </w:rPr>
              <w:t>11</w:t>
            </w:r>
            <w:r w:rsidR="005F49C0" w:rsidRPr="009F6F72">
              <w:rPr>
                <w:rStyle w:val="Firstpagetablebold"/>
                <w:b w:val="0"/>
              </w:rPr>
              <w:t>-</w:t>
            </w:r>
            <w:r w:rsidR="00B72A15" w:rsidRPr="009F6F72">
              <w:rPr>
                <w:rStyle w:val="Firstpagetablebold"/>
                <w:b w:val="0"/>
              </w:rPr>
              <w:t>13</w:t>
            </w:r>
            <w:r w:rsidRPr="009F6F72">
              <w:rPr>
                <w:rStyle w:val="Firstpagetablebold"/>
                <w:b w:val="0"/>
              </w:rPr>
              <w:t xml:space="preserve"> of the repor</w:t>
            </w:r>
            <w:bookmarkStart w:id="0" w:name="_GoBack"/>
            <w:bookmarkEnd w:id="0"/>
            <w:r w:rsidRPr="009F6F72">
              <w:rPr>
                <w:rStyle w:val="Firstpagetablebold"/>
                <w:b w:val="0"/>
              </w:rPr>
              <w:t>t.</w:t>
            </w:r>
          </w:p>
        </w:tc>
      </w:tr>
    </w:tbl>
    <w:p w:rsidR="00CE544A" w:rsidRPr="001C0BEF"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1C0BEF"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1C0BEF" w:rsidRDefault="00966D42" w:rsidP="00263EA3">
            <w:pPr>
              <w:jc w:val="center"/>
            </w:pPr>
            <w:r w:rsidRPr="001C0BEF">
              <w:rPr>
                <w:rStyle w:val="Firstpagetablebold"/>
              </w:rPr>
              <w:t>Appendices</w:t>
            </w:r>
          </w:p>
        </w:tc>
      </w:tr>
      <w:tr w:rsidR="00ED5860" w:rsidRPr="001C0BEF" w:rsidTr="00A46E98">
        <w:tc>
          <w:tcPr>
            <w:tcW w:w="2438" w:type="dxa"/>
            <w:tcBorders>
              <w:top w:val="single" w:sz="8" w:space="0" w:color="000000"/>
              <w:left w:val="single" w:sz="8" w:space="0" w:color="000000"/>
              <w:bottom w:val="nil"/>
              <w:right w:val="nil"/>
            </w:tcBorders>
            <w:shd w:val="clear" w:color="auto" w:fill="auto"/>
          </w:tcPr>
          <w:p w:rsidR="00ED5860" w:rsidRPr="001C0BEF" w:rsidRDefault="00ED5860" w:rsidP="004A6D2F">
            <w:r w:rsidRPr="001C0BEF">
              <w:t>Appendix 1</w:t>
            </w:r>
          </w:p>
        </w:tc>
        <w:tc>
          <w:tcPr>
            <w:tcW w:w="6406" w:type="dxa"/>
            <w:tcBorders>
              <w:top w:val="single" w:sz="8" w:space="0" w:color="000000"/>
              <w:left w:val="nil"/>
              <w:bottom w:val="nil"/>
              <w:right w:val="single" w:sz="8" w:space="0" w:color="000000"/>
            </w:tcBorders>
          </w:tcPr>
          <w:p w:rsidR="00ED5860" w:rsidRPr="001C0BEF" w:rsidRDefault="00E8225F" w:rsidP="004A6D2F">
            <w:r w:rsidRPr="001C0BEF">
              <w:t>Risk Register</w:t>
            </w:r>
          </w:p>
        </w:tc>
      </w:tr>
      <w:tr w:rsidR="00ED5860" w:rsidRPr="001C0BEF" w:rsidTr="00A46E98">
        <w:tc>
          <w:tcPr>
            <w:tcW w:w="2438" w:type="dxa"/>
            <w:tcBorders>
              <w:top w:val="nil"/>
              <w:left w:val="single" w:sz="8" w:space="0" w:color="000000"/>
              <w:bottom w:val="nil"/>
              <w:right w:val="nil"/>
            </w:tcBorders>
            <w:shd w:val="clear" w:color="auto" w:fill="auto"/>
          </w:tcPr>
          <w:p w:rsidR="00ED5860" w:rsidRPr="001C0BEF" w:rsidRDefault="0030208D" w:rsidP="004A6D2F">
            <w:r w:rsidRPr="001C0BEF">
              <w:t>Appendix 2</w:t>
            </w:r>
          </w:p>
        </w:tc>
        <w:tc>
          <w:tcPr>
            <w:tcW w:w="6406" w:type="dxa"/>
            <w:tcBorders>
              <w:top w:val="nil"/>
              <w:left w:val="nil"/>
              <w:bottom w:val="nil"/>
              <w:right w:val="single" w:sz="8" w:space="0" w:color="000000"/>
            </w:tcBorders>
          </w:tcPr>
          <w:p w:rsidR="00ED5860" w:rsidRPr="001C0BEF" w:rsidRDefault="00E8225F" w:rsidP="00E8225F">
            <w:r w:rsidRPr="001C0BEF">
              <w:t>Equalities Impact Assessment</w:t>
            </w:r>
          </w:p>
        </w:tc>
      </w:tr>
      <w:tr w:rsidR="0030208D" w:rsidRPr="001C0BEF" w:rsidTr="00A46E98">
        <w:tc>
          <w:tcPr>
            <w:tcW w:w="2438" w:type="dxa"/>
            <w:tcBorders>
              <w:top w:val="nil"/>
              <w:left w:val="single" w:sz="8" w:space="0" w:color="000000"/>
              <w:bottom w:val="nil"/>
              <w:right w:val="nil"/>
            </w:tcBorders>
            <w:shd w:val="clear" w:color="auto" w:fill="auto"/>
          </w:tcPr>
          <w:p w:rsidR="0030208D" w:rsidRPr="001C0BEF" w:rsidRDefault="0030208D" w:rsidP="004A6D2F">
            <w:r w:rsidRPr="001C0BEF">
              <w:t>Appendix 3</w:t>
            </w:r>
          </w:p>
        </w:tc>
        <w:tc>
          <w:tcPr>
            <w:tcW w:w="6406" w:type="dxa"/>
            <w:tcBorders>
              <w:top w:val="nil"/>
              <w:left w:val="nil"/>
              <w:bottom w:val="nil"/>
              <w:right w:val="single" w:sz="8" w:space="0" w:color="000000"/>
            </w:tcBorders>
          </w:tcPr>
          <w:p w:rsidR="0030208D" w:rsidRPr="001C0BEF" w:rsidRDefault="003A3234" w:rsidP="004A6D2F">
            <w:r w:rsidRPr="001C0BEF">
              <w:t>National Audit Office Principles of Good Commissioning</w:t>
            </w:r>
          </w:p>
        </w:tc>
      </w:tr>
      <w:tr w:rsidR="0030208D" w:rsidRPr="001C0BEF" w:rsidTr="00A46E98">
        <w:tc>
          <w:tcPr>
            <w:tcW w:w="2438" w:type="dxa"/>
            <w:tcBorders>
              <w:top w:val="nil"/>
              <w:left w:val="single" w:sz="8" w:space="0" w:color="000000"/>
              <w:bottom w:val="single" w:sz="8" w:space="0" w:color="000000"/>
              <w:right w:val="nil"/>
            </w:tcBorders>
            <w:shd w:val="clear" w:color="auto" w:fill="auto"/>
          </w:tcPr>
          <w:p w:rsidR="0030208D" w:rsidRPr="001C0BEF" w:rsidRDefault="0030208D" w:rsidP="004A6D2F"/>
        </w:tc>
        <w:tc>
          <w:tcPr>
            <w:tcW w:w="6406" w:type="dxa"/>
            <w:tcBorders>
              <w:top w:val="nil"/>
              <w:left w:val="nil"/>
              <w:bottom w:val="single" w:sz="8" w:space="0" w:color="000000"/>
              <w:right w:val="single" w:sz="8" w:space="0" w:color="000000"/>
            </w:tcBorders>
          </w:tcPr>
          <w:p w:rsidR="0030208D" w:rsidRPr="001C0BEF" w:rsidRDefault="0030208D" w:rsidP="004A6D2F"/>
        </w:tc>
      </w:tr>
    </w:tbl>
    <w:p w:rsidR="003A3234" w:rsidRPr="001C0BEF" w:rsidRDefault="003A3234" w:rsidP="004A6D2F">
      <w:pPr>
        <w:pStyle w:val="Heading1"/>
      </w:pPr>
    </w:p>
    <w:p w:rsidR="0040736F" w:rsidRPr="001C0BEF" w:rsidRDefault="00F66DCA" w:rsidP="004A6D2F">
      <w:pPr>
        <w:pStyle w:val="Heading1"/>
        <w:rPr>
          <w:rFonts w:cs="Arial"/>
        </w:rPr>
      </w:pPr>
      <w:r w:rsidRPr="001C0BEF">
        <w:t>Introduction and b</w:t>
      </w:r>
      <w:r w:rsidR="00151888" w:rsidRPr="001C0BEF">
        <w:t>ackground</w:t>
      </w:r>
      <w:r w:rsidR="00404032" w:rsidRPr="001C0BEF">
        <w:t xml:space="preserve"> </w:t>
      </w:r>
    </w:p>
    <w:p w:rsidR="00680620" w:rsidRPr="001C0BEF" w:rsidRDefault="00680620" w:rsidP="00680620">
      <w:pPr>
        <w:numPr>
          <w:ilvl w:val="0"/>
          <w:numId w:val="37"/>
        </w:numPr>
        <w:spacing w:after="0"/>
        <w:rPr>
          <w:rFonts w:eastAsia="Calibri" w:cs="Arial"/>
          <w:color w:val="auto"/>
          <w:lang w:eastAsia="en-US"/>
        </w:rPr>
      </w:pPr>
      <w:r w:rsidRPr="001C0BEF">
        <w:rPr>
          <w:rFonts w:eastAsia="Calibri" w:cs="Arial"/>
          <w:color w:val="auto"/>
          <w:lang w:eastAsia="en-US"/>
        </w:rPr>
        <w:t xml:space="preserve">The City Council currently provides £518,379 of grant funding through its Advice and Money Management commissioning theme. This represents </w:t>
      </w:r>
      <w:r w:rsidR="000C1A16" w:rsidRPr="001C0BEF">
        <w:rPr>
          <w:rFonts w:eastAsia="Calibri" w:cs="Arial"/>
          <w:color w:val="auto"/>
          <w:lang w:eastAsia="en-US"/>
        </w:rPr>
        <w:t>over a third</w:t>
      </w:r>
      <w:r w:rsidRPr="001C0BEF">
        <w:rPr>
          <w:rFonts w:eastAsia="Calibri" w:cs="Arial"/>
          <w:color w:val="auto"/>
          <w:lang w:eastAsia="en-US"/>
        </w:rPr>
        <w:t xml:space="preserve"> of the Council’s grant</w:t>
      </w:r>
      <w:r w:rsidR="00AE22A2" w:rsidRPr="001C0BEF">
        <w:rPr>
          <w:rFonts w:eastAsia="Calibri" w:cs="Arial"/>
          <w:color w:val="auto"/>
          <w:lang w:eastAsia="en-US"/>
        </w:rPr>
        <w:t xml:space="preserve"> funding to community and voluntary organisations</w:t>
      </w:r>
      <w:r w:rsidR="000C1A16" w:rsidRPr="001C0BEF">
        <w:rPr>
          <w:rFonts w:eastAsia="Calibri" w:cs="Arial"/>
          <w:color w:val="auto"/>
          <w:lang w:eastAsia="en-US"/>
        </w:rPr>
        <w:t>, as show</w:t>
      </w:r>
      <w:r w:rsidR="00763853" w:rsidRPr="001C0BEF">
        <w:rPr>
          <w:rFonts w:eastAsia="Calibri" w:cs="Arial"/>
          <w:color w:val="auto"/>
          <w:lang w:eastAsia="en-US"/>
        </w:rPr>
        <w:t>n</w:t>
      </w:r>
      <w:r w:rsidR="000C1A16" w:rsidRPr="001C0BEF">
        <w:rPr>
          <w:rFonts w:eastAsia="Calibri" w:cs="Arial"/>
          <w:color w:val="auto"/>
          <w:lang w:eastAsia="en-US"/>
        </w:rPr>
        <w:t xml:space="preserve"> in </w:t>
      </w:r>
      <w:r w:rsidR="003A3234" w:rsidRPr="001C0BEF">
        <w:rPr>
          <w:rFonts w:eastAsia="Calibri" w:cs="Arial"/>
          <w:color w:val="auto"/>
          <w:lang w:eastAsia="en-US"/>
        </w:rPr>
        <w:t>T</w:t>
      </w:r>
      <w:r w:rsidR="000C1A16" w:rsidRPr="001C0BEF">
        <w:rPr>
          <w:rFonts w:eastAsia="Calibri" w:cs="Arial"/>
          <w:color w:val="auto"/>
          <w:lang w:eastAsia="en-US"/>
        </w:rPr>
        <w:t>able</w:t>
      </w:r>
      <w:r w:rsidR="003A3234" w:rsidRPr="001C0BEF">
        <w:rPr>
          <w:rFonts w:eastAsia="Calibri" w:cs="Arial"/>
          <w:color w:val="auto"/>
          <w:lang w:eastAsia="en-US"/>
        </w:rPr>
        <w:t xml:space="preserve"> 1</w:t>
      </w:r>
      <w:r w:rsidR="000C1A16" w:rsidRPr="001C0BEF">
        <w:rPr>
          <w:rFonts w:eastAsia="Calibri" w:cs="Arial"/>
          <w:color w:val="auto"/>
          <w:lang w:eastAsia="en-US"/>
        </w:rPr>
        <w:t xml:space="preserve"> below.</w:t>
      </w:r>
      <w:r w:rsidRPr="001C0BEF">
        <w:rPr>
          <w:rFonts w:eastAsia="Calibri" w:cs="Arial"/>
          <w:color w:val="auto"/>
          <w:lang w:eastAsia="en-US"/>
        </w:rPr>
        <w:t xml:space="preserve"> Th</w:t>
      </w:r>
      <w:r w:rsidR="001F7ACA" w:rsidRPr="001C0BEF">
        <w:rPr>
          <w:rFonts w:eastAsia="Calibri" w:cs="Arial"/>
          <w:color w:val="auto"/>
          <w:lang w:eastAsia="en-US"/>
        </w:rPr>
        <w:t>e</w:t>
      </w:r>
      <w:r w:rsidRPr="001C0BEF">
        <w:rPr>
          <w:rFonts w:eastAsia="Calibri" w:cs="Arial"/>
          <w:color w:val="auto"/>
          <w:lang w:eastAsia="en-US"/>
        </w:rPr>
        <w:t xml:space="preserve"> </w:t>
      </w:r>
      <w:r w:rsidR="001D20A0" w:rsidRPr="001C0BEF">
        <w:rPr>
          <w:rFonts w:eastAsia="Calibri" w:cs="Arial"/>
          <w:color w:val="auto"/>
          <w:lang w:eastAsia="en-US"/>
        </w:rPr>
        <w:t xml:space="preserve">grants </w:t>
      </w:r>
      <w:r w:rsidRPr="001C0BEF">
        <w:rPr>
          <w:rFonts w:eastAsia="Calibri" w:cs="Arial"/>
          <w:color w:val="auto"/>
          <w:lang w:eastAsia="en-US"/>
        </w:rPr>
        <w:t xml:space="preserve">programme is co-ordinated and monitored </w:t>
      </w:r>
      <w:r w:rsidR="00E8225F" w:rsidRPr="001C0BEF">
        <w:rPr>
          <w:rFonts w:eastAsia="Calibri" w:cs="Arial"/>
          <w:color w:val="auto"/>
          <w:lang w:eastAsia="en-US"/>
        </w:rPr>
        <w:t>by</w:t>
      </w:r>
      <w:r w:rsidRPr="001C0BEF">
        <w:rPr>
          <w:rFonts w:eastAsia="Calibri" w:cs="Arial"/>
          <w:color w:val="auto"/>
          <w:lang w:eastAsia="en-US"/>
        </w:rPr>
        <w:t xml:space="preserve"> the </w:t>
      </w:r>
      <w:r w:rsidRPr="001C0BEF">
        <w:rPr>
          <w:rFonts w:eastAsia="Calibri" w:cs="Arial"/>
          <w:color w:val="auto"/>
          <w:lang w:eastAsia="en-US"/>
        </w:rPr>
        <w:lastRenderedPageBreak/>
        <w:t xml:space="preserve">Communities and Neighbourhoods team in consultation with lead commissioning officers and their portfolio holders. </w:t>
      </w:r>
    </w:p>
    <w:p w:rsidR="003A3234" w:rsidRPr="001C0BEF" w:rsidRDefault="003A3234" w:rsidP="003A3234">
      <w:pPr>
        <w:spacing w:after="0"/>
        <w:ind w:left="720"/>
        <w:rPr>
          <w:rFonts w:eastAsia="Calibri" w:cs="Arial"/>
          <w:color w:val="auto"/>
          <w:lang w:eastAsia="en-US"/>
        </w:rPr>
      </w:pPr>
    </w:p>
    <w:p w:rsidR="002C3AE7" w:rsidRPr="001C0BEF" w:rsidRDefault="003A3234" w:rsidP="002C3AE7">
      <w:pPr>
        <w:spacing w:after="0"/>
        <w:ind w:left="720"/>
        <w:rPr>
          <w:rFonts w:eastAsia="Calibri" w:cs="Arial"/>
          <w:b/>
          <w:color w:val="auto"/>
          <w:lang w:eastAsia="en-US"/>
        </w:rPr>
      </w:pPr>
      <w:r w:rsidRPr="001C0BEF">
        <w:rPr>
          <w:rFonts w:eastAsia="Calibri" w:cs="Arial"/>
          <w:b/>
          <w:color w:val="auto"/>
          <w:lang w:eastAsia="en-US"/>
        </w:rPr>
        <w:t>Table 1</w:t>
      </w:r>
    </w:p>
    <w:tbl>
      <w:tblPr>
        <w:tblStyle w:val="TableGrid1"/>
        <w:tblW w:w="0" w:type="auto"/>
        <w:jc w:val="center"/>
        <w:tblLook w:val="04A0" w:firstRow="1" w:lastRow="0" w:firstColumn="1" w:lastColumn="0" w:noHBand="0" w:noVBand="1"/>
      </w:tblPr>
      <w:tblGrid>
        <w:gridCol w:w="6629"/>
        <w:gridCol w:w="2613"/>
      </w:tblGrid>
      <w:tr w:rsidR="000C1A16" w:rsidRPr="001C0BEF" w:rsidTr="004D676F">
        <w:trPr>
          <w:jc w:val="center"/>
        </w:trPr>
        <w:tc>
          <w:tcPr>
            <w:tcW w:w="6629" w:type="dxa"/>
          </w:tcPr>
          <w:p w:rsidR="000C1A16" w:rsidRPr="001C0BEF" w:rsidRDefault="000C1A16" w:rsidP="004D676F">
            <w:pPr>
              <w:spacing w:after="0"/>
              <w:jc w:val="center"/>
              <w:rPr>
                <w:b/>
                <w:color w:val="auto"/>
              </w:rPr>
            </w:pPr>
            <w:r w:rsidRPr="001C0BEF">
              <w:rPr>
                <w:b/>
                <w:color w:val="auto"/>
              </w:rPr>
              <w:t>Funding Area</w:t>
            </w:r>
          </w:p>
        </w:tc>
        <w:tc>
          <w:tcPr>
            <w:tcW w:w="2613" w:type="dxa"/>
          </w:tcPr>
          <w:p w:rsidR="000C1A16" w:rsidRPr="001C0BEF" w:rsidRDefault="000C1A16" w:rsidP="000C1A16">
            <w:pPr>
              <w:spacing w:after="0"/>
              <w:jc w:val="center"/>
              <w:rPr>
                <w:b/>
                <w:color w:val="auto"/>
              </w:rPr>
            </w:pPr>
            <w:r w:rsidRPr="001C0BEF">
              <w:rPr>
                <w:b/>
                <w:color w:val="auto"/>
              </w:rPr>
              <w:t>2016/17 Budget (£)</w:t>
            </w:r>
          </w:p>
        </w:tc>
      </w:tr>
      <w:tr w:rsidR="000C1A16" w:rsidRPr="001C0BEF" w:rsidTr="004D676F">
        <w:trPr>
          <w:jc w:val="center"/>
        </w:trPr>
        <w:tc>
          <w:tcPr>
            <w:tcW w:w="6629" w:type="dxa"/>
          </w:tcPr>
          <w:p w:rsidR="000C1A16" w:rsidRPr="001C0BEF" w:rsidRDefault="000C1A16" w:rsidP="000C1A16">
            <w:pPr>
              <w:spacing w:after="0"/>
              <w:rPr>
                <w:color w:val="auto"/>
              </w:rPr>
            </w:pPr>
            <w:r w:rsidRPr="001C0BEF">
              <w:rPr>
                <w:color w:val="auto"/>
              </w:rPr>
              <w:t>Advice &amp; Money Management commissioning theme</w:t>
            </w:r>
          </w:p>
        </w:tc>
        <w:tc>
          <w:tcPr>
            <w:tcW w:w="2613" w:type="dxa"/>
          </w:tcPr>
          <w:p w:rsidR="000C1A16" w:rsidRPr="001C0BEF" w:rsidRDefault="000C1A16" w:rsidP="000C1A16">
            <w:pPr>
              <w:spacing w:after="0"/>
              <w:jc w:val="right"/>
              <w:rPr>
                <w:color w:val="auto"/>
              </w:rPr>
            </w:pPr>
            <w:r w:rsidRPr="001C0BEF">
              <w:rPr>
                <w:color w:val="auto"/>
              </w:rPr>
              <w:t>518,379</w:t>
            </w:r>
          </w:p>
        </w:tc>
      </w:tr>
      <w:tr w:rsidR="000C1A16" w:rsidRPr="001C0BEF" w:rsidTr="004D676F">
        <w:trPr>
          <w:jc w:val="center"/>
        </w:trPr>
        <w:tc>
          <w:tcPr>
            <w:tcW w:w="6629" w:type="dxa"/>
          </w:tcPr>
          <w:p w:rsidR="000C1A16" w:rsidRPr="001C0BEF" w:rsidRDefault="000C1A16" w:rsidP="000C1A16">
            <w:pPr>
              <w:spacing w:after="0"/>
              <w:rPr>
                <w:color w:val="auto"/>
              </w:rPr>
            </w:pPr>
            <w:r w:rsidRPr="001C0BEF">
              <w:rPr>
                <w:color w:val="auto"/>
              </w:rPr>
              <w:t>Homelessness commissioning theme</w:t>
            </w:r>
          </w:p>
        </w:tc>
        <w:tc>
          <w:tcPr>
            <w:tcW w:w="2613" w:type="dxa"/>
          </w:tcPr>
          <w:p w:rsidR="000C1A16" w:rsidRPr="001C0BEF" w:rsidRDefault="000C1A16" w:rsidP="000C1A16">
            <w:pPr>
              <w:spacing w:after="0"/>
              <w:jc w:val="right"/>
              <w:rPr>
                <w:color w:val="auto"/>
              </w:rPr>
            </w:pPr>
            <w:r w:rsidRPr="001C0BEF">
              <w:rPr>
                <w:color w:val="auto"/>
              </w:rPr>
              <w:t>442,279</w:t>
            </w:r>
          </w:p>
        </w:tc>
      </w:tr>
      <w:tr w:rsidR="000C1A16" w:rsidRPr="001C0BEF" w:rsidTr="004D676F">
        <w:trPr>
          <w:jc w:val="center"/>
        </w:trPr>
        <w:tc>
          <w:tcPr>
            <w:tcW w:w="6629" w:type="dxa"/>
          </w:tcPr>
          <w:p w:rsidR="000C1A16" w:rsidRPr="001C0BEF" w:rsidRDefault="000C1A16" w:rsidP="000C1A16">
            <w:pPr>
              <w:spacing w:after="0"/>
              <w:rPr>
                <w:color w:val="auto"/>
              </w:rPr>
            </w:pPr>
            <w:r w:rsidRPr="001C0BEF">
              <w:rPr>
                <w:color w:val="auto"/>
              </w:rPr>
              <w:t>Inclusive arts and culture commissioning theme</w:t>
            </w:r>
          </w:p>
        </w:tc>
        <w:tc>
          <w:tcPr>
            <w:tcW w:w="2613" w:type="dxa"/>
          </w:tcPr>
          <w:p w:rsidR="000C1A16" w:rsidRPr="001C0BEF" w:rsidRDefault="000C1A16" w:rsidP="000C1A16">
            <w:pPr>
              <w:spacing w:after="0"/>
              <w:jc w:val="right"/>
              <w:rPr>
                <w:color w:val="auto"/>
              </w:rPr>
            </w:pPr>
            <w:r w:rsidRPr="001C0BEF">
              <w:rPr>
                <w:color w:val="auto"/>
              </w:rPr>
              <w:t>235,262</w:t>
            </w:r>
          </w:p>
        </w:tc>
      </w:tr>
      <w:tr w:rsidR="000C1A16" w:rsidRPr="001C0BEF" w:rsidTr="004D676F">
        <w:trPr>
          <w:jc w:val="center"/>
        </w:trPr>
        <w:tc>
          <w:tcPr>
            <w:tcW w:w="6629" w:type="dxa"/>
          </w:tcPr>
          <w:p w:rsidR="000C1A16" w:rsidRPr="001C0BEF" w:rsidRDefault="000C1A16" w:rsidP="000C1A16">
            <w:pPr>
              <w:spacing w:after="0"/>
              <w:rPr>
                <w:color w:val="auto"/>
              </w:rPr>
            </w:pPr>
            <w:r w:rsidRPr="001C0BEF">
              <w:rPr>
                <w:color w:val="auto"/>
              </w:rPr>
              <w:t>Community Safety commissioning theme</w:t>
            </w:r>
          </w:p>
        </w:tc>
        <w:tc>
          <w:tcPr>
            <w:tcW w:w="2613" w:type="dxa"/>
          </w:tcPr>
          <w:p w:rsidR="000C1A16" w:rsidRPr="001C0BEF" w:rsidRDefault="000C1A16" w:rsidP="000C1A16">
            <w:pPr>
              <w:spacing w:after="0"/>
              <w:jc w:val="right"/>
              <w:rPr>
                <w:color w:val="auto"/>
              </w:rPr>
            </w:pPr>
            <w:r w:rsidRPr="001C0BEF">
              <w:rPr>
                <w:color w:val="auto"/>
              </w:rPr>
              <w:t>61,082</w:t>
            </w:r>
          </w:p>
        </w:tc>
      </w:tr>
      <w:tr w:rsidR="000C1A16" w:rsidRPr="001C0BEF" w:rsidTr="004D676F">
        <w:trPr>
          <w:jc w:val="center"/>
        </w:trPr>
        <w:tc>
          <w:tcPr>
            <w:tcW w:w="6629" w:type="dxa"/>
          </w:tcPr>
          <w:p w:rsidR="000C1A16" w:rsidRPr="001C0BEF" w:rsidRDefault="000C1A16" w:rsidP="000C1A16">
            <w:pPr>
              <w:spacing w:after="0"/>
              <w:rPr>
                <w:color w:val="auto"/>
              </w:rPr>
            </w:pPr>
            <w:r w:rsidRPr="001C0BEF">
              <w:rPr>
                <w:color w:val="auto"/>
              </w:rPr>
              <w:t>Community &amp; voluntary sector infrastructure commissioning</w:t>
            </w:r>
          </w:p>
          <w:p w:rsidR="000C1A16" w:rsidRPr="001C0BEF" w:rsidRDefault="000C1A16" w:rsidP="000C1A16">
            <w:pPr>
              <w:spacing w:after="0"/>
              <w:rPr>
                <w:color w:val="auto"/>
              </w:rPr>
            </w:pPr>
            <w:r w:rsidRPr="001C0BEF">
              <w:rPr>
                <w:color w:val="auto"/>
              </w:rPr>
              <w:t>theme</w:t>
            </w:r>
          </w:p>
        </w:tc>
        <w:tc>
          <w:tcPr>
            <w:tcW w:w="2613" w:type="dxa"/>
          </w:tcPr>
          <w:p w:rsidR="000C1A16" w:rsidRPr="001C0BEF" w:rsidRDefault="000C1A16" w:rsidP="000C1A16">
            <w:pPr>
              <w:spacing w:after="0"/>
              <w:jc w:val="right"/>
              <w:rPr>
                <w:color w:val="auto"/>
              </w:rPr>
            </w:pPr>
            <w:r w:rsidRPr="001C0BEF">
              <w:rPr>
                <w:color w:val="auto"/>
              </w:rPr>
              <w:t>43,736</w:t>
            </w:r>
          </w:p>
        </w:tc>
      </w:tr>
      <w:tr w:rsidR="000C1A16" w:rsidRPr="001C0BEF" w:rsidTr="004D676F">
        <w:trPr>
          <w:jc w:val="center"/>
        </w:trPr>
        <w:tc>
          <w:tcPr>
            <w:tcW w:w="6629" w:type="dxa"/>
          </w:tcPr>
          <w:p w:rsidR="000C1A16" w:rsidRPr="001C0BEF" w:rsidRDefault="000C1A16" w:rsidP="000C1A16">
            <w:pPr>
              <w:spacing w:after="0"/>
              <w:rPr>
                <w:color w:val="auto"/>
              </w:rPr>
            </w:pPr>
            <w:r w:rsidRPr="001C0BEF">
              <w:rPr>
                <w:color w:val="auto"/>
              </w:rPr>
              <w:t>Inclusive leisure &amp; play for disabled children and young people</w:t>
            </w:r>
          </w:p>
          <w:p w:rsidR="000C1A16" w:rsidRPr="001C0BEF" w:rsidRDefault="000C1A16" w:rsidP="000C1A16">
            <w:pPr>
              <w:spacing w:after="0"/>
              <w:rPr>
                <w:color w:val="auto"/>
              </w:rPr>
            </w:pPr>
            <w:r w:rsidRPr="001C0BEF">
              <w:rPr>
                <w:color w:val="auto"/>
              </w:rPr>
              <w:t>commissioning theme</w:t>
            </w:r>
          </w:p>
        </w:tc>
        <w:tc>
          <w:tcPr>
            <w:tcW w:w="2613" w:type="dxa"/>
          </w:tcPr>
          <w:p w:rsidR="000C1A16" w:rsidRPr="001C0BEF" w:rsidRDefault="000C1A16" w:rsidP="000C1A16">
            <w:pPr>
              <w:spacing w:after="0"/>
              <w:jc w:val="right"/>
              <w:rPr>
                <w:color w:val="auto"/>
              </w:rPr>
            </w:pPr>
            <w:r w:rsidRPr="001C0BEF">
              <w:rPr>
                <w:color w:val="auto"/>
              </w:rPr>
              <w:t>15,000</w:t>
            </w:r>
          </w:p>
        </w:tc>
      </w:tr>
      <w:tr w:rsidR="000C1A16" w:rsidRPr="001C0BEF" w:rsidTr="004D676F">
        <w:trPr>
          <w:jc w:val="center"/>
        </w:trPr>
        <w:tc>
          <w:tcPr>
            <w:tcW w:w="6629" w:type="dxa"/>
          </w:tcPr>
          <w:p w:rsidR="000C1A16" w:rsidRPr="001C0BEF" w:rsidRDefault="000C1A16" w:rsidP="000C1A16">
            <w:pPr>
              <w:spacing w:after="0"/>
              <w:rPr>
                <w:color w:val="auto"/>
              </w:rPr>
            </w:pPr>
            <w:r w:rsidRPr="001C0BEF">
              <w:rPr>
                <w:color w:val="auto"/>
              </w:rPr>
              <w:t>Open Bidding</w:t>
            </w:r>
          </w:p>
        </w:tc>
        <w:tc>
          <w:tcPr>
            <w:tcW w:w="2613" w:type="dxa"/>
          </w:tcPr>
          <w:p w:rsidR="000C1A16" w:rsidRPr="001C0BEF" w:rsidRDefault="000C1A16" w:rsidP="000C1A16">
            <w:pPr>
              <w:spacing w:after="0"/>
              <w:jc w:val="right"/>
              <w:rPr>
                <w:color w:val="auto"/>
              </w:rPr>
            </w:pPr>
            <w:r w:rsidRPr="001C0BEF">
              <w:rPr>
                <w:color w:val="auto"/>
              </w:rPr>
              <w:t>110,000</w:t>
            </w:r>
          </w:p>
        </w:tc>
      </w:tr>
      <w:tr w:rsidR="000C1A16" w:rsidRPr="001C0BEF" w:rsidTr="004D676F">
        <w:trPr>
          <w:jc w:val="center"/>
        </w:trPr>
        <w:tc>
          <w:tcPr>
            <w:tcW w:w="6629" w:type="dxa"/>
          </w:tcPr>
          <w:p w:rsidR="000C1A16" w:rsidRPr="001C0BEF" w:rsidRDefault="000C1A16" w:rsidP="000C1A16">
            <w:pPr>
              <w:spacing w:after="0"/>
              <w:rPr>
                <w:color w:val="auto"/>
              </w:rPr>
            </w:pPr>
            <w:r w:rsidRPr="001C0BEF">
              <w:rPr>
                <w:color w:val="auto"/>
              </w:rPr>
              <w:t>Small grants programme</w:t>
            </w:r>
          </w:p>
        </w:tc>
        <w:tc>
          <w:tcPr>
            <w:tcW w:w="2613" w:type="dxa"/>
          </w:tcPr>
          <w:p w:rsidR="000C1A16" w:rsidRPr="001C0BEF" w:rsidRDefault="000C1A16" w:rsidP="000C1A16">
            <w:pPr>
              <w:spacing w:after="0"/>
              <w:jc w:val="right"/>
              <w:rPr>
                <w:color w:val="auto"/>
              </w:rPr>
            </w:pPr>
            <w:r w:rsidRPr="001C0BEF">
              <w:rPr>
                <w:color w:val="auto"/>
              </w:rPr>
              <w:t>5,232</w:t>
            </w:r>
          </w:p>
        </w:tc>
      </w:tr>
      <w:tr w:rsidR="000C1A16" w:rsidRPr="001C0BEF" w:rsidTr="004D676F">
        <w:trPr>
          <w:jc w:val="center"/>
        </w:trPr>
        <w:tc>
          <w:tcPr>
            <w:tcW w:w="6629" w:type="dxa"/>
          </w:tcPr>
          <w:p w:rsidR="000C1A16" w:rsidRPr="001C0BEF" w:rsidRDefault="000C1A16" w:rsidP="000C1A16">
            <w:pPr>
              <w:spacing w:after="0"/>
              <w:jc w:val="right"/>
              <w:rPr>
                <w:b/>
                <w:color w:val="auto"/>
              </w:rPr>
            </w:pPr>
            <w:r w:rsidRPr="001C0BEF">
              <w:rPr>
                <w:b/>
                <w:color w:val="auto"/>
              </w:rPr>
              <w:t>Total</w:t>
            </w:r>
          </w:p>
        </w:tc>
        <w:tc>
          <w:tcPr>
            <w:tcW w:w="2613" w:type="dxa"/>
          </w:tcPr>
          <w:p w:rsidR="000C1A16" w:rsidRPr="001C0BEF" w:rsidRDefault="000C1A16" w:rsidP="000C1A16">
            <w:pPr>
              <w:spacing w:after="0"/>
              <w:jc w:val="right"/>
              <w:rPr>
                <w:b/>
                <w:color w:val="auto"/>
              </w:rPr>
            </w:pPr>
            <w:r w:rsidRPr="001C0BEF">
              <w:rPr>
                <w:b/>
                <w:color w:val="auto"/>
              </w:rPr>
              <w:t>1,430,970</w:t>
            </w:r>
          </w:p>
        </w:tc>
      </w:tr>
    </w:tbl>
    <w:p w:rsidR="000C1A16" w:rsidRPr="001C0BEF" w:rsidRDefault="000C1A16" w:rsidP="002C3AE7">
      <w:pPr>
        <w:spacing w:after="0"/>
        <w:ind w:left="720"/>
        <w:rPr>
          <w:rFonts w:eastAsia="Calibri" w:cs="Arial"/>
          <w:color w:val="auto"/>
          <w:lang w:eastAsia="en-US"/>
        </w:rPr>
      </w:pPr>
    </w:p>
    <w:p w:rsidR="00680620" w:rsidRPr="001C0BEF" w:rsidRDefault="00680620" w:rsidP="00680620">
      <w:pPr>
        <w:spacing w:after="0"/>
        <w:rPr>
          <w:rFonts w:eastAsia="Calibri" w:cs="Arial"/>
          <w:color w:val="auto"/>
          <w:lang w:eastAsia="en-US"/>
        </w:rPr>
      </w:pPr>
    </w:p>
    <w:p w:rsidR="00680620" w:rsidRPr="001C0BEF" w:rsidRDefault="00680620" w:rsidP="00680620">
      <w:pPr>
        <w:numPr>
          <w:ilvl w:val="0"/>
          <w:numId w:val="37"/>
        </w:numPr>
        <w:spacing w:after="0"/>
        <w:rPr>
          <w:rFonts w:eastAsia="Calibri" w:cs="Arial"/>
          <w:color w:val="auto"/>
          <w:lang w:eastAsia="en-US"/>
        </w:rPr>
      </w:pPr>
      <w:r w:rsidRPr="001C0BEF">
        <w:rPr>
          <w:rFonts w:eastAsia="Calibri" w:cs="Arial"/>
          <w:color w:val="auto"/>
          <w:lang w:eastAsia="en-US"/>
        </w:rPr>
        <w:t xml:space="preserve">Although the Advice &amp; Money Management funding is described as a commissioning theme, it actually represents grant funding. It currently </w:t>
      </w:r>
      <w:r w:rsidR="008D403F" w:rsidRPr="001C0BEF">
        <w:rPr>
          <w:rFonts w:eastAsia="Calibri" w:cs="Arial"/>
          <w:color w:val="auto"/>
          <w:lang w:eastAsia="en-US"/>
        </w:rPr>
        <w:t>provides core funding to</w:t>
      </w:r>
      <w:r w:rsidRPr="001C0BEF">
        <w:rPr>
          <w:rFonts w:eastAsia="Calibri" w:cs="Arial"/>
          <w:color w:val="auto"/>
          <w:lang w:eastAsia="en-US"/>
        </w:rPr>
        <w:t xml:space="preserve"> four organisations </w:t>
      </w:r>
      <w:proofErr w:type="gramStart"/>
      <w:r w:rsidR="008D403F" w:rsidRPr="001C0BEF">
        <w:rPr>
          <w:rFonts w:eastAsia="Calibri" w:cs="Arial"/>
          <w:color w:val="auto"/>
          <w:lang w:eastAsia="en-US"/>
        </w:rPr>
        <w:t>wh</w:t>
      </w:r>
      <w:r w:rsidRPr="001C0BEF">
        <w:rPr>
          <w:rFonts w:eastAsia="Calibri" w:cs="Arial"/>
          <w:color w:val="auto"/>
          <w:lang w:eastAsia="en-US"/>
        </w:rPr>
        <w:t>o</w:t>
      </w:r>
      <w:proofErr w:type="gramEnd"/>
      <w:r w:rsidRPr="001C0BEF">
        <w:rPr>
          <w:rFonts w:eastAsia="Calibri" w:cs="Arial"/>
          <w:color w:val="auto"/>
          <w:lang w:eastAsia="en-US"/>
        </w:rPr>
        <w:t xml:space="preserve"> provide advice on a range of issues, but predominantly in relation to debt and benefit entitlement</w:t>
      </w:r>
      <w:r w:rsidR="003A3234" w:rsidRPr="001C0BEF">
        <w:rPr>
          <w:rFonts w:eastAsia="Calibri" w:cs="Arial"/>
          <w:color w:val="auto"/>
          <w:lang w:eastAsia="en-US"/>
        </w:rPr>
        <w:t>. The funding allocation for 2016/17 is shown in Table 2 below.</w:t>
      </w:r>
    </w:p>
    <w:p w:rsidR="00680620" w:rsidRPr="001C0BEF" w:rsidRDefault="00680620" w:rsidP="00680620">
      <w:pPr>
        <w:spacing w:after="0"/>
        <w:rPr>
          <w:rFonts w:eastAsia="Calibri" w:cs="Arial"/>
          <w:color w:val="auto"/>
          <w:lang w:eastAsia="en-US"/>
        </w:rPr>
      </w:pPr>
    </w:p>
    <w:p w:rsidR="00680620" w:rsidRPr="001C0BEF" w:rsidRDefault="002C3AE7" w:rsidP="008D403F">
      <w:pPr>
        <w:numPr>
          <w:ilvl w:val="0"/>
          <w:numId w:val="37"/>
        </w:numPr>
        <w:spacing w:after="0"/>
        <w:rPr>
          <w:rFonts w:eastAsia="Calibri" w:cs="Arial"/>
          <w:color w:val="auto"/>
          <w:lang w:eastAsia="en-US"/>
        </w:rPr>
      </w:pPr>
      <w:r w:rsidRPr="001C0BEF">
        <w:rPr>
          <w:rFonts w:eastAsia="Calibri" w:cs="Arial"/>
          <w:color w:val="auto"/>
          <w:lang w:eastAsia="en-US"/>
        </w:rPr>
        <w:t>The</w:t>
      </w:r>
      <w:r w:rsidR="008D403F" w:rsidRPr="001C0BEF">
        <w:rPr>
          <w:rFonts w:eastAsia="Calibri" w:cs="Arial"/>
          <w:color w:val="auto"/>
          <w:lang w:eastAsia="en-US"/>
        </w:rPr>
        <w:t xml:space="preserve"> current Advice &amp; Money Management </w:t>
      </w:r>
      <w:r w:rsidRPr="001C0BEF">
        <w:rPr>
          <w:rFonts w:eastAsia="Calibri" w:cs="Arial"/>
          <w:color w:val="auto"/>
          <w:lang w:eastAsia="en-US"/>
        </w:rPr>
        <w:t>programme</w:t>
      </w:r>
      <w:r w:rsidR="008D403F" w:rsidRPr="001C0BEF">
        <w:rPr>
          <w:rFonts w:eastAsia="Calibri" w:cs="Arial"/>
          <w:color w:val="auto"/>
          <w:lang w:eastAsia="en-US"/>
        </w:rPr>
        <w:t xml:space="preserve"> runs for three years in order to provide certainty to funded organisations. </w:t>
      </w:r>
      <w:r w:rsidR="00680620" w:rsidRPr="001C0BEF">
        <w:rPr>
          <w:rFonts w:eastAsia="Calibri" w:cs="Arial"/>
          <w:color w:val="auto"/>
          <w:lang w:eastAsia="en-US"/>
        </w:rPr>
        <w:t xml:space="preserve"> </w:t>
      </w:r>
      <w:r w:rsidR="008D403F" w:rsidRPr="001C0BEF">
        <w:rPr>
          <w:rFonts w:eastAsia="Calibri" w:cs="Arial"/>
          <w:color w:val="auto"/>
          <w:lang w:eastAsia="en-US"/>
        </w:rPr>
        <w:t xml:space="preserve">A priority area is agreed each year for which additional monitoring is undertaken. In the first year the priority area was debt, and this year it is households in low paid work. The current programme finishes at the end of 2017/18. </w:t>
      </w:r>
      <w:r w:rsidR="00120B0B" w:rsidRPr="001C0BEF">
        <w:rPr>
          <w:rFonts w:eastAsia="Calibri" w:cs="Arial"/>
          <w:color w:val="auto"/>
          <w:lang w:eastAsia="en-US"/>
        </w:rPr>
        <w:t>I</w:t>
      </w:r>
      <w:r w:rsidR="00680620" w:rsidRPr="001C0BEF">
        <w:rPr>
          <w:rFonts w:eastAsia="Calibri" w:cs="Arial"/>
          <w:color w:val="auto"/>
          <w:lang w:eastAsia="en-US"/>
        </w:rPr>
        <w:t>n accordance with the Oxfordshire Compact, the Council needs to advise current providers of its broad intentions from 2018 onwards, as early as possible.</w:t>
      </w:r>
    </w:p>
    <w:p w:rsidR="00680620" w:rsidRPr="001C0BEF" w:rsidRDefault="00680620" w:rsidP="00680620">
      <w:pPr>
        <w:spacing w:after="0"/>
        <w:rPr>
          <w:rFonts w:eastAsia="Calibri" w:cs="Arial"/>
          <w:color w:val="auto"/>
          <w:lang w:eastAsia="en-US"/>
        </w:rPr>
      </w:pPr>
    </w:p>
    <w:p w:rsidR="003A3234" w:rsidRPr="001C0BEF" w:rsidRDefault="00680620" w:rsidP="00763853">
      <w:pPr>
        <w:pStyle w:val="ListParagraph"/>
        <w:numPr>
          <w:ilvl w:val="0"/>
          <w:numId w:val="37"/>
        </w:numPr>
        <w:spacing w:after="0"/>
        <w:rPr>
          <w:rFonts w:eastAsia="Calibri" w:cs="Arial"/>
          <w:color w:val="auto"/>
          <w:lang w:eastAsia="en-US"/>
        </w:rPr>
      </w:pPr>
      <w:r w:rsidRPr="001C0BEF">
        <w:rPr>
          <w:rFonts w:eastAsia="Calibri" w:cs="Arial"/>
          <w:color w:val="auto"/>
          <w:lang w:eastAsia="en-US"/>
        </w:rPr>
        <w:t xml:space="preserve">The demand for grants from the </w:t>
      </w:r>
      <w:r w:rsidR="000162F2" w:rsidRPr="001C0BEF">
        <w:rPr>
          <w:rFonts w:eastAsia="Calibri" w:cs="Arial"/>
          <w:color w:val="auto"/>
          <w:lang w:eastAsia="en-US"/>
        </w:rPr>
        <w:t>C</w:t>
      </w:r>
      <w:r w:rsidRPr="001C0BEF">
        <w:rPr>
          <w:rFonts w:eastAsia="Calibri" w:cs="Arial"/>
          <w:color w:val="auto"/>
          <w:lang w:eastAsia="en-US"/>
        </w:rPr>
        <w:t xml:space="preserve">ity </w:t>
      </w:r>
      <w:r w:rsidR="000162F2" w:rsidRPr="001C0BEF">
        <w:rPr>
          <w:rFonts w:eastAsia="Calibri" w:cs="Arial"/>
          <w:color w:val="auto"/>
          <w:lang w:eastAsia="en-US"/>
        </w:rPr>
        <w:t>C</w:t>
      </w:r>
      <w:r w:rsidRPr="001C0BEF">
        <w:rPr>
          <w:rFonts w:eastAsia="Calibri" w:cs="Arial"/>
          <w:color w:val="auto"/>
          <w:lang w:eastAsia="en-US"/>
        </w:rPr>
        <w:t xml:space="preserve">ouncil continues to grow as other sources of funding are reduced reflecting the general tightening in public sector funding. </w:t>
      </w:r>
      <w:r w:rsidR="003A3234" w:rsidRPr="001C0BEF">
        <w:rPr>
          <w:rFonts w:eastAsia="Calibri" w:cs="Arial"/>
          <w:color w:val="auto"/>
          <w:lang w:eastAsia="en-US"/>
        </w:rPr>
        <w:t xml:space="preserve">The reduction in funding by the </w:t>
      </w:r>
      <w:r w:rsidR="00120B0B" w:rsidRPr="001C0BEF">
        <w:rPr>
          <w:rFonts w:eastAsia="Calibri" w:cs="Arial"/>
          <w:color w:val="auto"/>
          <w:lang w:eastAsia="en-US"/>
        </w:rPr>
        <w:t>C</w:t>
      </w:r>
      <w:r w:rsidR="003A3234" w:rsidRPr="001C0BEF">
        <w:rPr>
          <w:rFonts w:eastAsia="Calibri" w:cs="Arial"/>
          <w:color w:val="auto"/>
          <w:lang w:eastAsia="en-US"/>
        </w:rPr>
        <w:t xml:space="preserve">ounty </w:t>
      </w:r>
      <w:r w:rsidR="00120B0B" w:rsidRPr="001C0BEF">
        <w:rPr>
          <w:rFonts w:eastAsia="Calibri" w:cs="Arial"/>
          <w:color w:val="auto"/>
          <w:lang w:eastAsia="en-US"/>
        </w:rPr>
        <w:t>C</w:t>
      </w:r>
      <w:r w:rsidR="003A3234" w:rsidRPr="001C0BEF">
        <w:rPr>
          <w:rFonts w:eastAsia="Calibri" w:cs="Arial"/>
          <w:color w:val="auto"/>
          <w:lang w:eastAsia="en-US"/>
        </w:rPr>
        <w:t>ouncil of advice centres in Oxford is shown in Table 2 below.</w:t>
      </w:r>
      <w:r w:rsidR="00B30224" w:rsidRPr="001C0BEF">
        <w:rPr>
          <w:rFonts w:eastAsia="Calibri" w:cs="Arial"/>
          <w:color w:val="auto"/>
          <w:lang w:eastAsia="en-US"/>
        </w:rPr>
        <w:t xml:space="preserve"> This has been replaced with a single contract worth £139,224 annually for the whole of Oxfordshire. </w:t>
      </w:r>
      <w:r w:rsidRPr="001C0BEF">
        <w:rPr>
          <w:rFonts w:eastAsia="Calibri" w:cs="Arial"/>
          <w:color w:val="auto"/>
          <w:lang w:eastAsia="en-US"/>
        </w:rPr>
        <w:t xml:space="preserve">We should expect </w:t>
      </w:r>
      <w:r w:rsidR="002833DA" w:rsidRPr="001C0BEF">
        <w:rPr>
          <w:rFonts w:eastAsia="Calibri" w:cs="Arial"/>
          <w:color w:val="auto"/>
          <w:lang w:eastAsia="en-US"/>
        </w:rPr>
        <w:t xml:space="preserve">increased </w:t>
      </w:r>
      <w:r w:rsidR="000162F2" w:rsidRPr="001C0BEF">
        <w:rPr>
          <w:rFonts w:eastAsia="Calibri" w:cs="Arial"/>
          <w:color w:val="auto"/>
          <w:lang w:eastAsia="en-US"/>
        </w:rPr>
        <w:t xml:space="preserve">demand </w:t>
      </w:r>
      <w:r w:rsidR="00487DB0" w:rsidRPr="001C0BEF">
        <w:rPr>
          <w:rFonts w:eastAsia="Calibri" w:cs="Arial"/>
          <w:color w:val="auto"/>
          <w:lang w:eastAsia="en-US"/>
        </w:rPr>
        <w:t>across</w:t>
      </w:r>
      <w:r w:rsidR="000162F2" w:rsidRPr="001C0BEF">
        <w:rPr>
          <w:rFonts w:eastAsia="Calibri" w:cs="Arial"/>
          <w:color w:val="auto"/>
          <w:lang w:eastAsia="en-US"/>
        </w:rPr>
        <w:t xml:space="preserve"> the Council’s grants programme</w:t>
      </w:r>
      <w:r w:rsidRPr="001C0BEF">
        <w:rPr>
          <w:rFonts w:eastAsia="Calibri" w:cs="Arial"/>
          <w:color w:val="auto"/>
          <w:lang w:eastAsia="en-US"/>
        </w:rPr>
        <w:t xml:space="preserve"> if the </w:t>
      </w:r>
      <w:r w:rsidR="000162F2" w:rsidRPr="001C0BEF">
        <w:rPr>
          <w:rFonts w:eastAsia="Calibri" w:cs="Arial"/>
          <w:color w:val="auto"/>
          <w:lang w:eastAsia="en-US"/>
        </w:rPr>
        <w:t>C</w:t>
      </w:r>
      <w:r w:rsidRPr="001C0BEF">
        <w:rPr>
          <w:rFonts w:eastAsia="Calibri" w:cs="Arial"/>
          <w:color w:val="auto"/>
          <w:lang w:eastAsia="en-US"/>
        </w:rPr>
        <w:t xml:space="preserve">ounty </w:t>
      </w:r>
      <w:r w:rsidR="000162F2" w:rsidRPr="001C0BEF">
        <w:rPr>
          <w:rFonts w:eastAsia="Calibri" w:cs="Arial"/>
          <w:color w:val="auto"/>
          <w:lang w:eastAsia="en-US"/>
        </w:rPr>
        <w:t>C</w:t>
      </w:r>
      <w:r w:rsidRPr="001C0BEF">
        <w:rPr>
          <w:rFonts w:eastAsia="Calibri" w:cs="Arial"/>
          <w:color w:val="auto"/>
          <w:lang w:eastAsia="en-US"/>
        </w:rPr>
        <w:t>ouncil re</w:t>
      </w:r>
      <w:r w:rsidR="000162F2" w:rsidRPr="001C0BEF">
        <w:rPr>
          <w:rFonts w:eastAsia="Calibri" w:cs="Arial"/>
          <w:color w:val="auto"/>
          <w:lang w:eastAsia="en-US"/>
        </w:rPr>
        <w:t>duces community and voluntary sector funding further</w:t>
      </w:r>
      <w:r w:rsidRPr="001C0BEF">
        <w:rPr>
          <w:rFonts w:eastAsia="Calibri" w:cs="Arial"/>
          <w:color w:val="auto"/>
          <w:lang w:eastAsia="en-US"/>
        </w:rPr>
        <w:t>. At the same time</w:t>
      </w:r>
      <w:r w:rsidR="00487DB0" w:rsidRPr="001C0BEF">
        <w:rPr>
          <w:rFonts w:eastAsia="Calibri" w:cs="Arial"/>
          <w:color w:val="auto"/>
          <w:lang w:eastAsia="en-US"/>
        </w:rPr>
        <w:t>,</w:t>
      </w:r>
      <w:r w:rsidRPr="001C0BEF">
        <w:rPr>
          <w:rFonts w:eastAsia="Calibri" w:cs="Arial"/>
          <w:color w:val="auto"/>
          <w:lang w:eastAsia="en-US"/>
        </w:rPr>
        <w:t xml:space="preserve"> demand for grant funded </w:t>
      </w:r>
      <w:r w:rsidR="00554D50" w:rsidRPr="001C0BEF">
        <w:rPr>
          <w:rFonts w:eastAsia="Calibri" w:cs="Arial"/>
          <w:color w:val="auto"/>
          <w:lang w:eastAsia="en-US"/>
        </w:rPr>
        <w:t xml:space="preserve">advice </w:t>
      </w:r>
      <w:r w:rsidRPr="001C0BEF">
        <w:rPr>
          <w:rFonts w:eastAsia="Calibri" w:cs="Arial"/>
          <w:color w:val="auto"/>
          <w:lang w:eastAsia="en-US"/>
        </w:rPr>
        <w:t>services is increasing due to the increasing unaffordability of housing in Oxford, ongoing reductions to benefits, and complexity within the benefits system due to the migration to new benefits (e.g. Universal Credit and Personal Independence Payment).</w:t>
      </w:r>
      <w:r w:rsidR="00D529E9" w:rsidRPr="001C0BEF">
        <w:rPr>
          <w:rFonts w:eastAsia="Calibri" w:cs="Arial"/>
          <w:color w:val="auto"/>
          <w:lang w:eastAsia="en-US"/>
        </w:rPr>
        <w:t xml:space="preserve">  The advice sector has attempted to mitigate these factors by working more closely with each other, and other third sector organisations in the city.</w:t>
      </w:r>
    </w:p>
    <w:p w:rsidR="00B30224" w:rsidRDefault="00B30224" w:rsidP="00B30224">
      <w:pPr>
        <w:spacing w:after="0"/>
        <w:ind w:left="720"/>
        <w:rPr>
          <w:rFonts w:eastAsia="Calibri" w:cs="Arial"/>
          <w:b/>
          <w:color w:val="auto"/>
          <w:lang w:eastAsia="en-US"/>
        </w:rPr>
      </w:pPr>
    </w:p>
    <w:p w:rsidR="009F6F72" w:rsidRDefault="009F6F72" w:rsidP="00B30224">
      <w:pPr>
        <w:spacing w:after="0"/>
        <w:ind w:left="720"/>
        <w:rPr>
          <w:rFonts w:eastAsia="Calibri" w:cs="Arial"/>
          <w:b/>
          <w:color w:val="auto"/>
          <w:lang w:eastAsia="en-US"/>
        </w:rPr>
      </w:pPr>
    </w:p>
    <w:p w:rsidR="004D676F" w:rsidRDefault="004D676F" w:rsidP="00B30224">
      <w:pPr>
        <w:spacing w:after="0"/>
        <w:ind w:left="720"/>
        <w:rPr>
          <w:rFonts w:eastAsia="Calibri" w:cs="Arial"/>
          <w:b/>
          <w:color w:val="auto"/>
          <w:lang w:eastAsia="en-US"/>
        </w:rPr>
      </w:pPr>
    </w:p>
    <w:p w:rsidR="004D676F" w:rsidRPr="001C0BEF" w:rsidRDefault="004D676F" w:rsidP="00B30224">
      <w:pPr>
        <w:spacing w:after="0"/>
        <w:ind w:left="720"/>
        <w:rPr>
          <w:rFonts w:eastAsia="Calibri" w:cs="Arial"/>
          <w:b/>
          <w:color w:val="auto"/>
          <w:lang w:eastAsia="en-US"/>
        </w:rPr>
      </w:pPr>
    </w:p>
    <w:p w:rsidR="003A3234" w:rsidRPr="001C0BEF" w:rsidRDefault="003A3234" w:rsidP="003A3234">
      <w:pPr>
        <w:pStyle w:val="ListParagraph"/>
        <w:numPr>
          <w:ilvl w:val="0"/>
          <w:numId w:val="0"/>
        </w:numPr>
        <w:ind w:left="720"/>
        <w:rPr>
          <w:rFonts w:eastAsia="Calibri" w:cs="Arial"/>
          <w:b/>
          <w:color w:val="auto"/>
          <w:lang w:eastAsia="en-US"/>
        </w:rPr>
      </w:pPr>
      <w:r w:rsidRPr="001C0BEF">
        <w:rPr>
          <w:rFonts w:eastAsia="Calibri" w:cs="Arial"/>
          <w:b/>
          <w:color w:val="auto"/>
          <w:lang w:eastAsia="en-US"/>
        </w:rPr>
        <w:lastRenderedPageBreak/>
        <w:t>Table 2</w:t>
      </w:r>
    </w:p>
    <w:tbl>
      <w:tblPr>
        <w:tblStyle w:val="TableGrid3"/>
        <w:tblW w:w="0" w:type="auto"/>
        <w:jc w:val="center"/>
        <w:tblLook w:val="04A0" w:firstRow="1" w:lastRow="0" w:firstColumn="1" w:lastColumn="0" w:noHBand="0" w:noVBand="1"/>
      </w:tblPr>
      <w:tblGrid>
        <w:gridCol w:w="3652"/>
        <w:gridCol w:w="2178"/>
        <w:gridCol w:w="2178"/>
      </w:tblGrid>
      <w:tr w:rsidR="003A3234" w:rsidRPr="001C0BEF" w:rsidTr="009F6F72">
        <w:trPr>
          <w:trHeight w:val="250"/>
          <w:jc w:val="center"/>
        </w:trPr>
        <w:tc>
          <w:tcPr>
            <w:tcW w:w="3652" w:type="dxa"/>
          </w:tcPr>
          <w:p w:rsidR="003A3234" w:rsidRPr="001C0BEF" w:rsidRDefault="003A3234" w:rsidP="003A3234">
            <w:pPr>
              <w:spacing w:after="0"/>
              <w:jc w:val="center"/>
              <w:rPr>
                <w:b/>
                <w:color w:val="auto"/>
              </w:rPr>
            </w:pPr>
            <w:r w:rsidRPr="001C0BEF">
              <w:rPr>
                <w:b/>
                <w:color w:val="auto"/>
              </w:rPr>
              <w:t>Organisation</w:t>
            </w:r>
          </w:p>
        </w:tc>
        <w:tc>
          <w:tcPr>
            <w:tcW w:w="2178" w:type="dxa"/>
          </w:tcPr>
          <w:p w:rsidR="003A3234" w:rsidRPr="001C0BEF" w:rsidRDefault="003A3234" w:rsidP="003A3234">
            <w:pPr>
              <w:spacing w:after="0"/>
              <w:jc w:val="center"/>
              <w:rPr>
                <w:b/>
                <w:color w:val="auto"/>
              </w:rPr>
            </w:pPr>
            <w:r w:rsidRPr="001C0BEF">
              <w:rPr>
                <w:b/>
                <w:color w:val="auto"/>
              </w:rPr>
              <w:t>City Council funding 16/17</w:t>
            </w:r>
          </w:p>
        </w:tc>
        <w:tc>
          <w:tcPr>
            <w:tcW w:w="2178" w:type="dxa"/>
          </w:tcPr>
          <w:p w:rsidR="003A3234" w:rsidRPr="001C0BEF" w:rsidRDefault="003A3234" w:rsidP="003A3234">
            <w:pPr>
              <w:spacing w:after="0"/>
              <w:jc w:val="center"/>
              <w:rPr>
                <w:b/>
                <w:color w:val="auto"/>
              </w:rPr>
            </w:pPr>
            <w:r w:rsidRPr="001C0BEF">
              <w:rPr>
                <w:b/>
                <w:color w:val="auto"/>
              </w:rPr>
              <w:t>Loss of County Council funding</w:t>
            </w:r>
          </w:p>
        </w:tc>
      </w:tr>
      <w:tr w:rsidR="003A3234" w:rsidRPr="001C0BEF" w:rsidTr="009F6F72">
        <w:trPr>
          <w:trHeight w:val="250"/>
          <w:jc w:val="center"/>
        </w:trPr>
        <w:tc>
          <w:tcPr>
            <w:tcW w:w="3652" w:type="dxa"/>
          </w:tcPr>
          <w:p w:rsidR="003A3234" w:rsidRPr="001C0BEF" w:rsidRDefault="003A3234" w:rsidP="003A3234">
            <w:pPr>
              <w:spacing w:after="0"/>
              <w:rPr>
                <w:color w:val="auto"/>
              </w:rPr>
            </w:pPr>
            <w:r w:rsidRPr="001C0BEF">
              <w:rPr>
                <w:color w:val="auto"/>
              </w:rPr>
              <w:t>Agnes Smith</w:t>
            </w:r>
          </w:p>
        </w:tc>
        <w:tc>
          <w:tcPr>
            <w:tcW w:w="2178" w:type="dxa"/>
          </w:tcPr>
          <w:p w:rsidR="003A3234" w:rsidRPr="001C0BEF" w:rsidRDefault="003A3234" w:rsidP="00B30224">
            <w:pPr>
              <w:spacing w:after="0"/>
              <w:jc w:val="right"/>
              <w:rPr>
                <w:color w:val="auto"/>
              </w:rPr>
            </w:pPr>
            <w:r w:rsidRPr="001C0BEF">
              <w:rPr>
                <w:color w:val="auto"/>
              </w:rPr>
              <w:t>£85,290</w:t>
            </w:r>
          </w:p>
        </w:tc>
        <w:tc>
          <w:tcPr>
            <w:tcW w:w="2178" w:type="dxa"/>
          </w:tcPr>
          <w:p w:rsidR="003A3234" w:rsidRPr="001C0BEF" w:rsidRDefault="003A3234" w:rsidP="00B30224">
            <w:pPr>
              <w:spacing w:after="0"/>
              <w:jc w:val="right"/>
              <w:rPr>
                <w:color w:val="auto"/>
              </w:rPr>
            </w:pPr>
            <w:r w:rsidRPr="001C0BEF">
              <w:rPr>
                <w:color w:val="auto"/>
              </w:rPr>
              <w:t>-£14,684</w:t>
            </w:r>
          </w:p>
        </w:tc>
      </w:tr>
      <w:tr w:rsidR="003A3234" w:rsidRPr="001C0BEF" w:rsidTr="009F6F72">
        <w:trPr>
          <w:trHeight w:val="266"/>
          <w:jc w:val="center"/>
        </w:trPr>
        <w:tc>
          <w:tcPr>
            <w:tcW w:w="3652" w:type="dxa"/>
          </w:tcPr>
          <w:p w:rsidR="003A3234" w:rsidRPr="001C0BEF" w:rsidRDefault="003A3234" w:rsidP="003A3234">
            <w:pPr>
              <w:spacing w:after="0"/>
              <w:rPr>
                <w:color w:val="auto"/>
              </w:rPr>
            </w:pPr>
            <w:r w:rsidRPr="001C0BEF">
              <w:rPr>
                <w:color w:val="auto"/>
              </w:rPr>
              <w:t>Citizens Advice Oxford</w:t>
            </w:r>
          </w:p>
        </w:tc>
        <w:tc>
          <w:tcPr>
            <w:tcW w:w="2178" w:type="dxa"/>
          </w:tcPr>
          <w:p w:rsidR="003A3234" w:rsidRPr="001C0BEF" w:rsidRDefault="003A3234" w:rsidP="00B30224">
            <w:pPr>
              <w:spacing w:after="0"/>
              <w:jc w:val="right"/>
              <w:rPr>
                <w:color w:val="auto"/>
              </w:rPr>
            </w:pPr>
            <w:r w:rsidRPr="001C0BEF">
              <w:rPr>
                <w:color w:val="auto"/>
              </w:rPr>
              <w:t>£200,000</w:t>
            </w:r>
          </w:p>
        </w:tc>
        <w:tc>
          <w:tcPr>
            <w:tcW w:w="2178" w:type="dxa"/>
          </w:tcPr>
          <w:p w:rsidR="003A3234" w:rsidRPr="001C0BEF" w:rsidRDefault="003A3234" w:rsidP="00B30224">
            <w:pPr>
              <w:spacing w:after="0"/>
              <w:jc w:val="right"/>
              <w:rPr>
                <w:color w:val="auto"/>
              </w:rPr>
            </w:pPr>
            <w:r w:rsidRPr="001C0BEF">
              <w:rPr>
                <w:color w:val="auto"/>
              </w:rPr>
              <w:t>-£25,000</w:t>
            </w:r>
          </w:p>
        </w:tc>
      </w:tr>
      <w:tr w:rsidR="003A3234" w:rsidRPr="001C0BEF" w:rsidTr="009F6F72">
        <w:trPr>
          <w:trHeight w:val="250"/>
          <w:jc w:val="center"/>
        </w:trPr>
        <w:tc>
          <w:tcPr>
            <w:tcW w:w="3652" w:type="dxa"/>
          </w:tcPr>
          <w:p w:rsidR="003A3234" w:rsidRPr="001C0BEF" w:rsidRDefault="003A3234" w:rsidP="003A3234">
            <w:pPr>
              <w:spacing w:after="0"/>
              <w:rPr>
                <w:color w:val="auto"/>
              </w:rPr>
            </w:pPr>
            <w:r w:rsidRPr="001C0BEF">
              <w:rPr>
                <w:color w:val="auto"/>
              </w:rPr>
              <w:t>Oxford Community Work Agency</w:t>
            </w:r>
          </w:p>
        </w:tc>
        <w:tc>
          <w:tcPr>
            <w:tcW w:w="2178" w:type="dxa"/>
          </w:tcPr>
          <w:p w:rsidR="003A3234" w:rsidRPr="001C0BEF" w:rsidRDefault="003A3234" w:rsidP="00B30224">
            <w:pPr>
              <w:spacing w:after="0"/>
              <w:jc w:val="right"/>
              <w:rPr>
                <w:color w:val="auto"/>
              </w:rPr>
            </w:pPr>
            <w:r w:rsidRPr="001C0BEF">
              <w:rPr>
                <w:color w:val="auto"/>
              </w:rPr>
              <w:t>£142,611</w:t>
            </w:r>
          </w:p>
        </w:tc>
        <w:tc>
          <w:tcPr>
            <w:tcW w:w="2178" w:type="dxa"/>
          </w:tcPr>
          <w:p w:rsidR="003A3234" w:rsidRPr="001C0BEF" w:rsidRDefault="003A3234" w:rsidP="00B30224">
            <w:pPr>
              <w:spacing w:after="0"/>
              <w:jc w:val="right"/>
              <w:rPr>
                <w:color w:val="auto"/>
              </w:rPr>
            </w:pPr>
            <w:r w:rsidRPr="001C0BEF">
              <w:rPr>
                <w:color w:val="auto"/>
              </w:rPr>
              <w:t>-£119,719</w:t>
            </w:r>
          </w:p>
        </w:tc>
      </w:tr>
      <w:tr w:rsidR="003A3234" w:rsidRPr="001C0BEF" w:rsidTr="009F6F72">
        <w:trPr>
          <w:trHeight w:val="266"/>
          <w:jc w:val="center"/>
        </w:trPr>
        <w:tc>
          <w:tcPr>
            <w:tcW w:w="3652" w:type="dxa"/>
          </w:tcPr>
          <w:p w:rsidR="003A3234" w:rsidRPr="001C0BEF" w:rsidRDefault="003A3234" w:rsidP="003A3234">
            <w:pPr>
              <w:spacing w:after="0"/>
              <w:rPr>
                <w:color w:val="auto"/>
              </w:rPr>
            </w:pPr>
            <w:r w:rsidRPr="001C0BEF">
              <w:rPr>
                <w:color w:val="auto"/>
              </w:rPr>
              <w:t>Rose Hill &amp; Donnington</w:t>
            </w:r>
          </w:p>
        </w:tc>
        <w:tc>
          <w:tcPr>
            <w:tcW w:w="2178" w:type="dxa"/>
          </w:tcPr>
          <w:p w:rsidR="003A3234" w:rsidRPr="001C0BEF" w:rsidRDefault="003A3234" w:rsidP="00B30224">
            <w:pPr>
              <w:spacing w:after="0"/>
              <w:jc w:val="right"/>
              <w:rPr>
                <w:color w:val="auto"/>
              </w:rPr>
            </w:pPr>
            <w:r w:rsidRPr="001C0BEF">
              <w:rPr>
                <w:color w:val="auto"/>
              </w:rPr>
              <w:t>£90,478</w:t>
            </w:r>
          </w:p>
        </w:tc>
        <w:tc>
          <w:tcPr>
            <w:tcW w:w="2178" w:type="dxa"/>
          </w:tcPr>
          <w:p w:rsidR="003A3234" w:rsidRPr="001C0BEF" w:rsidRDefault="003A3234" w:rsidP="00B30224">
            <w:pPr>
              <w:spacing w:after="0"/>
              <w:jc w:val="right"/>
              <w:rPr>
                <w:color w:val="auto"/>
              </w:rPr>
            </w:pPr>
            <w:r w:rsidRPr="001C0BEF">
              <w:rPr>
                <w:color w:val="auto"/>
              </w:rPr>
              <w:t>-£14,360</w:t>
            </w:r>
          </w:p>
        </w:tc>
      </w:tr>
      <w:tr w:rsidR="003A3234" w:rsidRPr="001C0BEF" w:rsidTr="009F6F72">
        <w:trPr>
          <w:trHeight w:val="250"/>
          <w:jc w:val="center"/>
        </w:trPr>
        <w:tc>
          <w:tcPr>
            <w:tcW w:w="3652" w:type="dxa"/>
          </w:tcPr>
          <w:p w:rsidR="003A3234" w:rsidRPr="001C0BEF" w:rsidRDefault="003A3234" w:rsidP="003A3234">
            <w:pPr>
              <w:spacing w:after="0"/>
              <w:rPr>
                <w:color w:val="auto"/>
              </w:rPr>
            </w:pPr>
          </w:p>
        </w:tc>
        <w:tc>
          <w:tcPr>
            <w:tcW w:w="2178" w:type="dxa"/>
          </w:tcPr>
          <w:p w:rsidR="003A3234" w:rsidRPr="001C0BEF" w:rsidRDefault="003A3234" w:rsidP="00B30224">
            <w:pPr>
              <w:spacing w:after="0"/>
              <w:jc w:val="right"/>
              <w:rPr>
                <w:color w:val="auto"/>
              </w:rPr>
            </w:pPr>
          </w:p>
        </w:tc>
        <w:tc>
          <w:tcPr>
            <w:tcW w:w="2178" w:type="dxa"/>
          </w:tcPr>
          <w:p w:rsidR="003A3234" w:rsidRPr="001C0BEF" w:rsidRDefault="003A3234" w:rsidP="00B30224">
            <w:pPr>
              <w:spacing w:after="0"/>
              <w:jc w:val="right"/>
              <w:rPr>
                <w:color w:val="auto"/>
              </w:rPr>
            </w:pPr>
          </w:p>
        </w:tc>
      </w:tr>
      <w:tr w:rsidR="003A3234" w:rsidRPr="001C0BEF" w:rsidTr="009F6F72">
        <w:trPr>
          <w:trHeight w:val="266"/>
          <w:jc w:val="center"/>
        </w:trPr>
        <w:tc>
          <w:tcPr>
            <w:tcW w:w="3652" w:type="dxa"/>
          </w:tcPr>
          <w:p w:rsidR="003A3234" w:rsidRPr="001C0BEF" w:rsidRDefault="003A3234" w:rsidP="003A3234">
            <w:pPr>
              <w:spacing w:after="0"/>
              <w:jc w:val="right"/>
              <w:rPr>
                <w:b/>
                <w:color w:val="auto"/>
              </w:rPr>
            </w:pPr>
            <w:r w:rsidRPr="001C0BEF">
              <w:rPr>
                <w:b/>
                <w:color w:val="auto"/>
              </w:rPr>
              <w:t>Total</w:t>
            </w:r>
          </w:p>
        </w:tc>
        <w:tc>
          <w:tcPr>
            <w:tcW w:w="2178" w:type="dxa"/>
          </w:tcPr>
          <w:p w:rsidR="003A3234" w:rsidRPr="001C0BEF" w:rsidRDefault="003A3234" w:rsidP="00B30224">
            <w:pPr>
              <w:spacing w:after="0"/>
              <w:jc w:val="right"/>
              <w:rPr>
                <w:b/>
                <w:color w:val="auto"/>
              </w:rPr>
            </w:pPr>
            <w:r w:rsidRPr="001C0BEF">
              <w:rPr>
                <w:b/>
                <w:color w:val="auto"/>
              </w:rPr>
              <w:t>£518,379</w:t>
            </w:r>
          </w:p>
        </w:tc>
        <w:tc>
          <w:tcPr>
            <w:tcW w:w="2178" w:type="dxa"/>
          </w:tcPr>
          <w:p w:rsidR="003A3234" w:rsidRPr="001C0BEF" w:rsidRDefault="003A3234" w:rsidP="00B30224">
            <w:pPr>
              <w:spacing w:after="0"/>
              <w:jc w:val="right"/>
              <w:rPr>
                <w:b/>
                <w:color w:val="auto"/>
              </w:rPr>
            </w:pPr>
            <w:r w:rsidRPr="001C0BEF">
              <w:rPr>
                <w:b/>
                <w:color w:val="auto"/>
              </w:rPr>
              <w:t>-£173,763</w:t>
            </w:r>
          </w:p>
        </w:tc>
      </w:tr>
    </w:tbl>
    <w:p w:rsidR="00680620" w:rsidRPr="001C0BEF" w:rsidRDefault="00680620" w:rsidP="00680620">
      <w:pPr>
        <w:spacing w:after="0"/>
        <w:rPr>
          <w:rFonts w:eastAsia="Calibri" w:cs="Arial"/>
          <w:color w:val="auto"/>
          <w:lang w:eastAsia="en-US"/>
        </w:rPr>
      </w:pPr>
    </w:p>
    <w:p w:rsidR="00680620" w:rsidRPr="001C0BEF" w:rsidRDefault="00680620" w:rsidP="00680620">
      <w:pPr>
        <w:numPr>
          <w:ilvl w:val="0"/>
          <w:numId w:val="37"/>
        </w:numPr>
        <w:spacing w:after="0"/>
        <w:rPr>
          <w:rFonts w:eastAsia="Calibri" w:cs="Arial"/>
          <w:color w:val="auto"/>
          <w:lang w:eastAsia="en-US"/>
        </w:rPr>
      </w:pPr>
      <w:r w:rsidRPr="001C0BEF">
        <w:rPr>
          <w:rFonts w:eastAsia="Calibri" w:cs="Arial"/>
          <w:color w:val="auto"/>
          <w:lang w:eastAsia="en-US"/>
        </w:rPr>
        <w:t>The City Council has incurred costs and provided additional funding to a range of organisations in the last year as a result of these changes. This includes</w:t>
      </w:r>
      <w:r w:rsidR="00B30224" w:rsidRPr="001C0BEF">
        <w:rPr>
          <w:rFonts w:eastAsia="Calibri" w:cs="Arial"/>
          <w:color w:val="auto"/>
          <w:lang w:eastAsia="en-US"/>
        </w:rPr>
        <w:t xml:space="preserve"> both</w:t>
      </w:r>
      <w:r w:rsidRPr="001C0BEF">
        <w:rPr>
          <w:rFonts w:eastAsia="Calibri" w:cs="Arial"/>
          <w:color w:val="auto"/>
          <w:lang w:eastAsia="en-US"/>
        </w:rPr>
        <w:t xml:space="preserve"> </w:t>
      </w:r>
      <w:r w:rsidR="00B30224" w:rsidRPr="001C0BEF">
        <w:rPr>
          <w:rFonts w:eastAsia="Calibri" w:cs="Arial"/>
          <w:color w:val="auto"/>
          <w:lang w:eastAsia="en-US"/>
        </w:rPr>
        <w:t>the provision of advice and</w:t>
      </w:r>
      <w:r w:rsidR="002C3AE7" w:rsidRPr="001C0BEF">
        <w:rPr>
          <w:rFonts w:eastAsia="Calibri" w:cs="Arial"/>
          <w:color w:val="auto"/>
          <w:lang w:eastAsia="en-US"/>
        </w:rPr>
        <w:t xml:space="preserve"> housing support</w:t>
      </w:r>
      <w:r w:rsidR="00B30224" w:rsidRPr="001C0BEF">
        <w:rPr>
          <w:rFonts w:eastAsia="Calibri" w:cs="Arial"/>
          <w:color w:val="auto"/>
          <w:lang w:eastAsia="en-US"/>
        </w:rPr>
        <w:t xml:space="preserve"> services.</w:t>
      </w:r>
      <w:r w:rsidRPr="001C0BEF">
        <w:rPr>
          <w:rFonts w:eastAsia="Calibri" w:cs="Arial"/>
          <w:color w:val="auto"/>
          <w:lang w:eastAsia="en-US"/>
        </w:rPr>
        <w:t xml:space="preserve"> The majority of additional support has been provided as one off funding, and this is not a sustainable way to ensure adequate delivery of services in the future. In respect of Advice &amp; Money Management, the Council has an opportunity to rethink the way services are provided so that they are put on a secure footing</w:t>
      </w:r>
      <w:r w:rsidR="00D529E9" w:rsidRPr="001C0BEF">
        <w:rPr>
          <w:rFonts w:eastAsia="Calibri" w:cs="Arial"/>
          <w:color w:val="auto"/>
          <w:lang w:eastAsia="en-US"/>
        </w:rPr>
        <w:t>, and support the aims of the Council’s Financial Inclusion Strategy.</w:t>
      </w:r>
    </w:p>
    <w:p w:rsidR="00680620" w:rsidRPr="001C0BEF" w:rsidRDefault="00680620" w:rsidP="00680620">
      <w:pPr>
        <w:spacing w:after="0"/>
        <w:rPr>
          <w:rFonts w:eastAsia="Calibri" w:cs="Arial"/>
          <w:color w:val="auto"/>
          <w:lang w:eastAsia="en-US"/>
        </w:rPr>
      </w:pPr>
    </w:p>
    <w:p w:rsidR="00680620" w:rsidRPr="001C0BEF" w:rsidRDefault="00BA42DF" w:rsidP="00680620">
      <w:pPr>
        <w:numPr>
          <w:ilvl w:val="0"/>
          <w:numId w:val="37"/>
        </w:numPr>
        <w:spacing w:after="0"/>
        <w:rPr>
          <w:rFonts w:eastAsia="Calibri" w:cs="Arial"/>
          <w:color w:val="auto"/>
          <w:lang w:eastAsia="en-US"/>
        </w:rPr>
      </w:pPr>
      <w:r w:rsidRPr="001C0BEF">
        <w:rPr>
          <w:rFonts w:eastAsia="Calibri" w:cs="Arial"/>
          <w:color w:val="auto"/>
          <w:lang w:eastAsia="en-US"/>
        </w:rPr>
        <w:t>T</w:t>
      </w:r>
      <w:r w:rsidR="00680620" w:rsidRPr="001C0BEF">
        <w:rPr>
          <w:rFonts w:eastAsia="Calibri" w:cs="Arial"/>
          <w:color w:val="auto"/>
          <w:lang w:eastAsia="en-US"/>
        </w:rPr>
        <w:t>he current method of grant funding the advice sector does have a number of advantages</w:t>
      </w:r>
      <w:r w:rsidR="00D529E9" w:rsidRPr="001C0BEF">
        <w:rPr>
          <w:rFonts w:eastAsia="Calibri" w:cs="Arial"/>
          <w:color w:val="auto"/>
          <w:lang w:eastAsia="en-US"/>
        </w:rPr>
        <w:t xml:space="preserve"> </w:t>
      </w:r>
      <w:r w:rsidR="0036791C" w:rsidRPr="001C0BEF">
        <w:rPr>
          <w:rFonts w:eastAsia="Calibri" w:cs="Arial"/>
          <w:color w:val="auto"/>
          <w:lang w:eastAsia="en-US"/>
        </w:rPr>
        <w:t>for the organisations concerned</w:t>
      </w:r>
      <w:r w:rsidR="00C86EED" w:rsidRPr="001C0BEF">
        <w:rPr>
          <w:rFonts w:eastAsia="Calibri" w:cs="Arial"/>
          <w:color w:val="auto"/>
          <w:lang w:eastAsia="en-US"/>
        </w:rPr>
        <w:t>, i.e.</w:t>
      </w:r>
      <w:r w:rsidR="00680620" w:rsidRPr="001C0BEF">
        <w:rPr>
          <w:rFonts w:eastAsia="Calibri" w:cs="Arial"/>
          <w:color w:val="auto"/>
          <w:lang w:eastAsia="en-US"/>
        </w:rPr>
        <w:t xml:space="preserve"> </w:t>
      </w:r>
      <w:proofErr w:type="gramStart"/>
      <w:r w:rsidR="00680620" w:rsidRPr="001C0BEF">
        <w:rPr>
          <w:rFonts w:eastAsia="Calibri" w:cs="Arial"/>
          <w:color w:val="auto"/>
          <w:lang w:eastAsia="en-US"/>
        </w:rPr>
        <w:t>It</w:t>
      </w:r>
      <w:proofErr w:type="gramEnd"/>
      <w:r w:rsidR="00680620" w:rsidRPr="001C0BEF">
        <w:rPr>
          <w:rFonts w:eastAsia="Calibri" w:cs="Arial"/>
          <w:color w:val="auto"/>
          <w:lang w:eastAsia="en-US"/>
        </w:rPr>
        <w:t xml:space="preserve"> protects the independence of organisations that are funded, it reduces bureaucracy for funded organisations by avoiding the imposition of targets, and it ensures the continued existence of community based organisations in the Council’s regeneration areas</w:t>
      </w:r>
      <w:r w:rsidR="002C3AE7" w:rsidRPr="001C0BEF">
        <w:rPr>
          <w:rFonts w:eastAsia="Calibri" w:cs="Arial"/>
          <w:color w:val="auto"/>
          <w:lang w:eastAsia="en-US"/>
        </w:rPr>
        <w:t>.</w:t>
      </w:r>
    </w:p>
    <w:p w:rsidR="002C3AE7" w:rsidRPr="001C0BEF" w:rsidRDefault="002C3AE7" w:rsidP="002C3AE7">
      <w:pPr>
        <w:pStyle w:val="ListParagraph"/>
        <w:numPr>
          <w:ilvl w:val="0"/>
          <w:numId w:val="0"/>
        </w:numPr>
        <w:ind w:left="426"/>
        <w:rPr>
          <w:rFonts w:eastAsia="Calibri" w:cs="Arial"/>
          <w:color w:val="auto"/>
          <w:lang w:eastAsia="en-US"/>
        </w:rPr>
      </w:pPr>
    </w:p>
    <w:p w:rsidR="00680620" w:rsidRPr="001C0BEF" w:rsidRDefault="00680620" w:rsidP="00680620">
      <w:pPr>
        <w:numPr>
          <w:ilvl w:val="0"/>
          <w:numId w:val="37"/>
        </w:numPr>
        <w:spacing w:after="0"/>
        <w:rPr>
          <w:rFonts w:eastAsia="Calibri" w:cs="Arial"/>
          <w:color w:val="auto"/>
          <w:lang w:eastAsia="en-US"/>
        </w:rPr>
      </w:pPr>
      <w:r w:rsidRPr="001C0BEF">
        <w:rPr>
          <w:rFonts w:eastAsia="Calibri" w:cs="Arial"/>
          <w:color w:val="auto"/>
          <w:lang w:eastAsia="en-US"/>
        </w:rPr>
        <w:t>However</w:t>
      </w:r>
      <w:r w:rsidR="00D877CD" w:rsidRPr="001C0BEF">
        <w:rPr>
          <w:rFonts w:eastAsia="Calibri" w:cs="Arial"/>
          <w:color w:val="auto"/>
          <w:lang w:eastAsia="en-US"/>
        </w:rPr>
        <w:t>,</w:t>
      </w:r>
      <w:r w:rsidRPr="001C0BEF">
        <w:rPr>
          <w:rFonts w:eastAsia="Calibri" w:cs="Arial"/>
          <w:color w:val="auto"/>
          <w:lang w:eastAsia="en-US"/>
        </w:rPr>
        <w:t xml:space="preserve"> there are also disadvantages with the current arrangements</w:t>
      </w:r>
      <w:r w:rsidR="00C40489" w:rsidRPr="001C0BEF">
        <w:rPr>
          <w:rFonts w:eastAsia="Calibri" w:cs="Arial"/>
          <w:color w:val="auto"/>
          <w:lang w:eastAsia="en-US"/>
        </w:rPr>
        <w:t>.</w:t>
      </w:r>
    </w:p>
    <w:p w:rsidR="00680620" w:rsidRPr="001C0BEF" w:rsidRDefault="00680620" w:rsidP="00680620">
      <w:pPr>
        <w:numPr>
          <w:ilvl w:val="0"/>
          <w:numId w:val="38"/>
        </w:numPr>
        <w:spacing w:after="0" w:line="276" w:lineRule="auto"/>
        <w:rPr>
          <w:rFonts w:eastAsia="Calibri" w:cs="Arial"/>
          <w:color w:val="auto"/>
          <w:lang w:eastAsia="en-US"/>
        </w:rPr>
      </w:pPr>
      <w:r w:rsidRPr="001C0BEF">
        <w:rPr>
          <w:rFonts w:eastAsia="Calibri" w:cs="Arial"/>
          <w:color w:val="auto"/>
          <w:lang w:eastAsia="en-US"/>
        </w:rPr>
        <w:t xml:space="preserve">Three of the funded organisations are very small, resulting in a duplication of </w:t>
      </w:r>
      <w:r w:rsidR="00C86EED" w:rsidRPr="001C0BEF">
        <w:rPr>
          <w:rFonts w:eastAsia="Calibri" w:cs="Arial"/>
          <w:color w:val="auto"/>
          <w:lang w:eastAsia="en-US"/>
        </w:rPr>
        <w:t>overheads:</w:t>
      </w:r>
      <w:r w:rsidR="0099726F" w:rsidRPr="001C0BEF">
        <w:rPr>
          <w:rFonts w:eastAsia="Calibri" w:cs="Arial"/>
          <w:color w:val="auto"/>
          <w:lang w:eastAsia="en-US"/>
        </w:rPr>
        <w:t xml:space="preserve"> </w:t>
      </w:r>
      <w:r w:rsidRPr="001C0BEF">
        <w:rPr>
          <w:rFonts w:eastAsia="Calibri" w:cs="Arial"/>
          <w:color w:val="auto"/>
          <w:lang w:eastAsia="en-US"/>
        </w:rPr>
        <w:t>management and running costs</w:t>
      </w:r>
      <w:r w:rsidR="00BF65CC" w:rsidRPr="001C0BEF">
        <w:rPr>
          <w:rFonts w:eastAsia="Calibri" w:cs="Arial"/>
          <w:color w:val="auto"/>
          <w:lang w:eastAsia="en-US"/>
        </w:rPr>
        <w:t>. T</w:t>
      </w:r>
      <w:r w:rsidRPr="001C0BEF">
        <w:rPr>
          <w:rFonts w:eastAsia="Calibri" w:cs="Arial"/>
          <w:color w:val="auto"/>
          <w:lang w:eastAsia="en-US"/>
        </w:rPr>
        <w:t xml:space="preserve">he </w:t>
      </w:r>
      <w:r w:rsidR="00BF65CC" w:rsidRPr="001C0BEF">
        <w:rPr>
          <w:rFonts w:eastAsia="Calibri" w:cs="Arial"/>
          <w:color w:val="auto"/>
          <w:lang w:eastAsia="en-US"/>
        </w:rPr>
        <w:t xml:space="preserve">current </w:t>
      </w:r>
      <w:r w:rsidRPr="001C0BEF">
        <w:rPr>
          <w:rFonts w:eastAsia="Calibri" w:cs="Arial"/>
          <w:color w:val="auto"/>
          <w:lang w:eastAsia="en-US"/>
        </w:rPr>
        <w:t>funding arrangements provide no incentive to reduce these</w:t>
      </w:r>
      <w:r w:rsidR="00C40489" w:rsidRPr="001C0BEF">
        <w:rPr>
          <w:rFonts w:eastAsia="Calibri" w:cs="Arial"/>
          <w:color w:val="auto"/>
          <w:lang w:eastAsia="en-US"/>
        </w:rPr>
        <w:t>.</w:t>
      </w:r>
    </w:p>
    <w:p w:rsidR="00680620" w:rsidRPr="001C0BEF" w:rsidRDefault="00680620" w:rsidP="00680620">
      <w:pPr>
        <w:numPr>
          <w:ilvl w:val="0"/>
          <w:numId w:val="38"/>
        </w:numPr>
        <w:spacing w:after="0" w:line="276" w:lineRule="auto"/>
        <w:rPr>
          <w:rFonts w:eastAsia="Calibri" w:cs="Arial"/>
          <w:color w:val="auto"/>
          <w:lang w:eastAsia="en-US"/>
        </w:rPr>
      </w:pPr>
      <w:r w:rsidRPr="001C0BEF">
        <w:rPr>
          <w:rFonts w:eastAsia="Calibri" w:cs="Arial"/>
          <w:color w:val="auto"/>
          <w:lang w:eastAsia="en-US"/>
        </w:rPr>
        <w:t>As funding is not linked to outcomes, services are largely reactive in nature</w:t>
      </w:r>
      <w:r w:rsidR="00C40489" w:rsidRPr="001C0BEF">
        <w:rPr>
          <w:rFonts w:eastAsia="Calibri" w:cs="Arial"/>
          <w:color w:val="auto"/>
          <w:lang w:eastAsia="en-US"/>
        </w:rPr>
        <w:t>.</w:t>
      </w:r>
    </w:p>
    <w:p w:rsidR="00F863F0" w:rsidRPr="001C0BEF" w:rsidRDefault="00680620" w:rsidP="0058307E">
      <w:pPr>
        <w:numPr>
          <w:ilvl w:val="0"/>
          <w:numId w:val="38"/>
        </w:numPr>
        <w:spacing w:after="0" w:line="276" w:lineRule="auto"/>
        <w:rPr>
          <w:rFonts w:eastAsia="Calibri" w:cs="Arial"/>
          <w:color w:val="auto"/>
          <w:lang w:eastAsia="en-US"/>
        </w:rPr>
      </w:pPr>
      <w:r w:rsidRPr="001C0BEF">
        <w:rPr>
          <w:rFonts w:eastAsia="Calibri" w:cs="Arial"/>
          <w:color w:val="auto"/>
          <w:lang w:eastAsia="en-US"/>
        </w:rPr>
        <w:t xml:space="preserve">The funding process has </w:t>
      </w:r>
      <w:r w:rsidR="00BA42DF" w:rsidRPr="001C0BEF">
        <w:rPr>
          <w:rFonts w:eastAsia="Calibri" w:cs="Arial"/>
          <w:color w:val="auto"/>
          <w:lang w:eastAsia="en-US"/>
        </w:rPr>
        <w:t>meant that funding has largely gone to existing organisations for their existing services</w:t>
      </w:r>
      <w:r w:rsidRPr="001C0BEF">
        <w:rPr>
          <w:rFonts w:eastAsia="Calibri" w:cs="Arial"/>
          <w:color w:val="auto"/>
          <w:lang w:eastAsia="en-US"/>
        </w:rPr>
        <w:t xml:space="preserve"> with little incentive for innovation in delivery</w:t>
      </w:r>
      <w:r w:rsidR="00C40489" w:rsidRPr="001C0BEF">
        <w:rPr>
          <w:rFonts w:eastAsia="Calibri" w:cs="Arial"/>
          <w:color w:val="auto"/>
          <w:lang w:eastAsia="en-US"/>
        </w:rPr>
        <w:t>.</w:t>
      </w:r>
    </w:p>
    <w:p w:rsidR="00683A3A" w:rsidRPr="001C0BEF" w:rsidRDefault="00683A3A" w:rsidP="0058307E">
      <w:pPr>
        <w:numPr>
          <w:ilvl w:val="0"/>
          <w:numId w:val="38"/>
        </w:numPr>
        <w:spacing w:after="0" w:line="276" w:lineRule="auto"/>
        <w:rPr>
          <w:rFonts w:eastAsia="Calibri" w:cs="Arial"/>
          <w:color w:val="auto"/>
          <w:lang w:eastAsia="en-US"/>
        </w:rPr>
      </w:pPr>
      <w:r w:rsidRPr="001C0BEF">
        <w:rPr>
          <w:rFonts w:eastAsia="Calibri" w:cs="Arial"/>
          <w:color w:val="auto"/>
          <w:lang w:eastAsia="en-US"/>
        </w:rPr>
        <w:t xml:space="preserve">The </w:t>
      </w:r>
      <w:r w:rsidR="004C73AE" w:rsidRPr="001C0BEF">
        <w:rPr>
          <w:rFonts w:eastAsia="Calibri" w:cs="Arial"/>
          <w:color w:val="auto"/>
          <w:lang w:eastAsia="en-US"/>
        </w:rPr>
        <w:t xml:space="preserve">geography of the funded </w:t>
      </w:r>
      <w:r w:rsidRPr="001C0BEF">
        <w:rPr>
          <w:rFonts w:eastAsia="Calibri" w:cs="Arial"/>
          <w:color w:val="auto"/>
          <w:lang w:eastAsia="en-US"/>
        </w:rPr>
        <w:t xml:space="preserve">advice </w:t>
      </w:r>
      <w:r w:rsidR="004C73AE" w:rsidRPr="001C0BEF">
        <w:rPr>
          <w:rFonts w:eastAsia="Calibri" w:cs="Arial"/>
          <w:color w:val="auto"/>
          <w:lang w:eastAsia="en-US"/>
        </w:rPr>
        <w:t xml:space="preserve">centres is largely historic </w:t>
      </w:r>
      <w:r w:rsidRPr="001C0BEF">
        <w:rPr>
          <w:rFonts w:eastAsia="Calibri" w:cs="Arial"/>
          <w:color w:val="auto"/>
          <w:lang w:eastAsia="en-US"/>
        </w:rPr>
        <w:t>and not all funded organisations serve the whole of Oxford</w:t>
      </w:r>
      <w:r w:rsidR="00D84F5D" w:rsidRPr="001C0BEF">
        <w:rPr>
          <w:rFonts w:eastAsia="Calibri" w:cs="Arial"/>
          <w:color w:val="auto"/>
          <w:lang w:eastAsia="en-US"/>
        </w:rPr>
        <w:t>.</w:t>
      </w:r>
      <w:r w:rsidR="00114135" w:rsidRPr="001C0BEF">
        <w:rPr>
          <w:rFonts w:eastAsia="Calibri" w:cs="Arial"/>
          <w:color w:val="auto"/>
          <w:lang w:eastAsia="en-US"/>
        </w:rPr>
        <w:t xml:space="preserve">  Hence</w:t>
      </w:r>
      <w:r w:rsidR="00D84F5D" w:rsidRPr="001C0BEF">
        <w:rPr>
          <w:rFonts w:eastAsia="Calibri" w:cs="Arial"/>
          <w:color w:val="auto"/>
          <w:lang w:eastAsia="en-US"/>
        </w:rPr>
        <w:t xml:space="preserve"> the current arrangements </w:t>
      </w:r>
      <w:r w:rsidR="00114135" w:rsidRPr="001C0BEF">
        <w:rPr>
          <w:rFonts w:eastAsia="Calibri" w:cs="Arial"/>
          <w:color w:val="auto"/>
          <w:lang w:eastAsia="en-US"/>
        </w:rPr>
        <w:t>may result in unmet demand.</w:t>
      </w:r>
    </w:p>
    <w:p w:rsidR="00680620" w:rsidRPr="001C0BEF" w:rsidRDefault="00680620" w:rsidP="00680620">
      <w:pPr>
        <w:spacing w:after="0"/>
        <w:rPr>
          <w:rFonts w:eastAsia="Calibri" w:cs="Arial"/>
          <w:color w:val="auto"/>
          <w:lang w:eastAsia="en-US"/>
        </w:rPr>
      </w:pPr>
    </w:p>
    <w:p w:rsidR="00F863F0" w:rsidRPr="001C0BEF" w:rsidRDefault="00F863F0" w:rsidP="00F863F0">
      <w:pPr>
        <w:pStyle w:val="ListParagraph"/>
        <w:numPr>
          <w:ilvl w:val="0"/>
          <w:numId w:val="37"/>
        </w:numPr>
        <w:spacing w:after="0"/>
        <w:rPr>
          <w:rFonts w:eastAsia="Calibri" w:cs="Arial"/>
          <w:color w:val="auto"/>
          <w:lang w:eastAsia="en-US"/>
        </w:rPr>
      </w:pPr>
      <w:r w:rsidRPr="001C0BEF">
        <w:rPr>
          <w:rFonts w:eastAsia="Calibri" w:cs="Arial"/>
          <w:color w:val="auto"/>
          <w:lang w:eastAsia="en-US"/>
        </w:rPr>
        <w:t xml:space="preserve">The current system does not require funded organisations to achieve specific outcomes. As an example, new monitoring </w:t>
      </w:r>
      <w:r w:rsidR="00663247" w:rsidRPr="001C0BEF">
        <w:rPr>
          <w:rFonts w:eastAsia="Calibri" w:cs="Arial"/>
          <w:color w:val="auto"/>
          <w:lang w:eastAsia="en-US"/>
        </w:rPr>
        <w:t>priorities</w:t>
      </w:r>
      <w:r w:rsidRPr="001C0BEF">
        <w:rPr>
          <w:rFonts w:eastAsia="Calibri" w:cs="Arial"/>
          <w:color w:val="auto"/>
          <w:lang w:eastAsia="en-US"/>
        </w:rPr>
        <w:t xml:space="preserve"> were introduced in the current programme to try and align it with the aims of the Council’s Financial Inclusion Strategy. In two of these themes (referring customers for support with entering employment, and accessing services digitally), very few outcomes were achieved during 2015/16. This is despite these issues having a direct benefit to customers (digital exclusion is estimated to cost households an average of £744 per year). </w:t>
      </w:r>
    </w:p>
    <w:p w:rsidR="008F6D49" w:rsidRPr="001C0BEF" w:rsidRDefault="008F6D49" w:rsidP="00B30224">
      <w:pPr>
        <w:pStyle w:val="ListParagraph"/>
        <w:numPr>
          <w:ilvl w:val="0"/>
          <w:numId w:val="0"/>
        </w:numPr>
        <w:spacing w:after="0"/>
        <w:ind w:left="720"/>
        <w:rPr>
          <w:rFonts w:eastAsia="Calibri" w:cs="Arial"/>
          <w:color w:val="auto"/>
          <w:lang w:eastAsia="en-US"/>
        </w:rPr>
      </w:pPr>
    </w:p>
    <w:p w:rsidR="00680620" w:rsidRPr="001C0BEF" w:rsidRDefault="00CB064B" w:rsidP="00680620">
      <w:pPr>
        <w:numPr>
          <w:ilvl w:val="0"/>
          <w:numId w:val="37"/>
        </w:numPr>
        <w:spacing w:after="0"/>
        <w:rPr>
          <w:rFonts w:eastAsia="Calibri" w:cs="Arial"/>
          <w:color w:val="auto"/>
          <w:lang w:eastAsia="en-US"/>
        </w:rPr>
      </w:pPr>
      <w:r w:rsidRPr="001C0BEF">
        <w:rPr>
          <w:rFonts w:eastAsia="Calibri" w:cs="Arial"/>
          <w:color w:val="auto"/>
          <w:lang w:eastAsia="en-US"/>
        </w:rPr>
        <w:lastRenderedPageBreak/>
        <w:t>Whilst not a direct comparison due to overheads, m</w:t>
      </w:r>
      <w:r w:rsidR="00680620" w:rsidRPr="001C0BEF">
        <w:rPr>
          <w:rFonts w:eastAsia="Calibri" w:cs="Arial"/>
          <w:color w:val="auto"/>
          <w:lang w:eastAsia="en-US"/>
        </w:rPr>
        <w:t xml:space="preserve">onitoring </w:t>
      </w:r>
      <w:r w:rsidR="0099726F" w:rsidRPr="001C0BEF">
        <w:rPr>
          <w:rFonts w:eastAsia="Calibri" w:cs="Arial"/>
          <w:color w:val="auto"/>
          <w:lang w:eastAsia="en-US"/>
        </w:rPr>
        <w:t xml:space="preserve">data </w:t>
      </w:r>
      <w:r w:rsidR="002C3AE7" w:rsidRPr="001C0BEF">
        <w:rPr>
          <w:rFonts w:eastAsia="Calibri" w:cs="Arial"/>
          <w:color w:val="auto"/>
          <w:lang w:eastAsia="en-US"/>
        </w:rPr>
        <w:t>submitted in</w:t>
      </w:r>
      <w:r w:rsidR="00680620" w:rsidRPr="001C0BEF">
        <w:rPr>
          <w:rFonts w:eastAsia="Calibri" w:cs="Arial"/>
          <w:color w:val="auto"/>
          <w:lang w:eastAsia="en-US"/>
        </w:rPr>
        <w:t xml:space="preserve"> 2015/16 </w:t>
      </w:r>
      <w:r w:rsidR="0099726F" w:rsidRPr="001C0BEF">
        <w:rPr>
          <w:rFonts w:eastAsia="Calibri" w:cs="Arial"/>
          <w:color w:val="auto"/>
          <w:lang w:eastAsia="en-US"/>
        </w:rPr>
        <w:t xml:space="preserve">by the </w:t>
      </w:r>
      <w:r w:rsidR="00AC3A23" w:rsidRPr="001C0BEF">
        <w:rPr>
          <w:rFonts w:eastAsia="Calibri" w:cs="Arial"/>
          <w:color w:val="auto"/>
          <w:lang w:eastAsia="en-US"/>
        </w:rPr>
        <w:t>organisations funded through the commissioned advice theme</w:t>
      </w:r>
      <w:r w:rsidR="0099726F" w:rsidRPr="001C0BEF">
        <w:rPr>
          <w:rFonts w:eastAsia="Calibri" w:cs="Arial"/>
          <w:color w:val="auto"/>
          <w:lang w:eastAsia="en-US"/>
        </w:rPr>
        <w:t xml:space="preserve"> </w:t>
      </w:r>
      <w:r w:rsidR="00680620" w:rsidRPr="001C0BEF">
        <w:rPr>
          <w:rFonts w:eastAsia="Calibri" w:cs="Arial"/>
          <w:color w:val="auto"/>
          <w:lang w:eastAsia="en-US"/>
        </w:rPr>
        <w:t xml:space="preserve">compared </w:t>
      </w:r>
      <w:r w:rsidR="0099726F" w:rsidRPr="001C0BEF">
        <w:rPr>
          <w:rFonts w:eastAsia="Calibri" w:cs="Arial"/>
          <w:color w:val="auto"/>
          <w:lang w:eastAsia="en-US"/>
        </w:rPr>
        <w:t xml:space="preserve">to </w:t>
      </w:r>
      <w:r w:rsidR="00680620" w:rsidRPr="001C0BEF">
        <w:rPr>
          <w:rFonts w:eastAsia="Calibri" w:cs="Arial"/>
          <w:color w:val="auto"/>
          <w:lang w:eastAsia="en-US"/>
        </w:rPr>
        <w:t>those of a debt advisor commissioned to provide support in St Aldates Chambers to customers of frontline council services (e.g. Welfare Reform Team, Housing Needs, Incomes Team, Tenancy Sustainment)</w:t>
      </w:r>
      <w:r w:rsidR="002C3AE7" w:rsidRPr="001C0BEF">
        <w:rPr>
          <w:rFonts w:eastAsia="Calibri" w:cs="Arial"/>
          <w:color w:val="auto"/>
          <w:lang w:eastAsia="en-US"/>
        </w:rPr>
        <w:t>, showed</w:t>
      </w:r>
      <w:r w:rsidR="00C062A5" w:rsidRPr="001C0BEF">
        <w:rPr>
          <w:rFonts w:eastAsia="Calibri" w:cs="Arial"/>
          <w:color w:val="auto"/>
          <w:lang w:eastAsia="en-US"/>
        </w:rPr>
        <w:t xml:space="preserve"> </w:t>
      </w:r>
      <w:r w:rsidRPr="001C0BEF">
        <w:rPr>
          <w:rFonts w:eastAsia="Calibri" w:cs="Arial"/>
          <w:color w:val="auto"/>
          <w:lang w:eastAsia="en-US"/>
        </w:rPr>
        <w:t xml:space="preserve">that </w:t>
      </w:r>
      <w:r w:rsidR="00680620" w:rsidRPr="001C0BEF">
        <w:rPr>
          <w:rFonts w:eastAsia="Calibri" w:cs="Arial"/>
          <w:color w:val="auto"/>
          <w:lang w:eastAsia="en-US"/>
        </w:rPr>
        <w:t xml:space="preserve">on a cost per outcome basis the debt adviser significantly outperformed three of the four funded organisations. </w:t>
      </w:r>
      <w:r w:rsidR="00590014" w:rsidRPr="001C0BEF">
        <w:rPr>
          <w:rFonts w:eastAsia="Calibri" w:cs="Arial"/>
          <w:color w:val="auto"/>
          <w:lang w:eastAsia="en-US"/>
        </w:rPr>
        <w:t>They</w:t>
      </w:r>
      <w:r w:rsidR="00680620" w:rsidRPr="001C0BEF">
        <w:rPr>
          <w:rFonts w:eastAsia="Calibri" w:cs="Arial"/>
          <w:color w:val="auto"/>
          <w:lang w:eastAsia="en-US"/>
        </w:rPr>
        <w:t xml:space="preserve"> also achieved more total outcomes related to debt and money management than one of the funded organisations. </w:t>
      </w:r>
    </w:p>
    <w:p w:rsidR="00680620" w:rsidRPr="001C0BEF" w:rsidRDefault="00680620" w:rsidP="00680620">
      <w:pPr>
        <w:spacing w:after="0"/>
        <w:rPr>
          <w:rFonts w:eastAsia="Calibri" w:cs="Arial"/>
          <w:color w:val="auto"/>
          <w:lang w:eastAsia="en-US"/>
        </w:rPr>
      </w:pPr>
    </w:p>
    <w:p w:rsidR="00680620" w:rsidRPr="001C0BEF" w:rsidRDefault="00680620" w:rsidP="00680620">
      <w:pPr>
        <w:numPr>
          <w:ilvl w:val="0"/>
          <w:numId w:val="37"/>
        </w:numPr>
        <w:spacing w:after="0"/>
        <w:rPr>
          <w:rFonts w:eastAsia="Calibri" w:cs="Arial"/>
          <w:color w:val="auto"/>
          <w:lang w:eastAsia="en-US"/>
        </w:rPr>
      </w:pPr>
      <w:r w:rsidRPr="001C0BEF">
        <w:rPr>
          <w:rFonts w:eastAsia="Calibri" w:cs="Arial"/>
          <w:color w:val="auto"/>
          <w:lang w:eastAsia="en-US"/>
        </w:rPr>
        <w:t xml:space="preserve">This example demonstrates that a significant amount of funding provided by the Council is being spent on management and running costs rather than support for customers. By formally commissioning services the Council could provide an incentive for organisations to </w:t>
      </w:r>
      <w:r w:rsidR="00590014" w:rsidRPr="001C0BEF">
        <w:rPr>
          <w:rFonts w:eastAsia="Calibri" w:cs="Arial"/>
          <w:color w:val="auto"/>
          <w:lang w:eastAsia="en-US"/>
        </w:rPr>
        <w:t xml:space="preserve">work more </w:t>
      </w:r>
      <w:r w:rsidR="00E4545C" w:rsidRPr="001C0BEF">
        <w:rPr>
          <w:rFonts w:eastAsia="Calibri" w:cs="Arial"/>
          <w:color w:val="auto"/>
          <w:lang w:eastAsia="en-US"/>
        </w:rPr>
        <w:t>collaboratively</w:t>
      </w:r>
      <w:r w:rsidR="00763853" w:rsidRPr="001C0BEF">
        <w:rPr>
          <w:rFonts w:eastAsia="Calibri" w:cs="Arial"/>
          <w:color w:val="auto"/>
          <w:lang w:eastAsia="en-US"/>
        </w:rPr>
        <w:t xml:space="preserve"> to</w:t>
      </w:r>
      <w:r w:rsidR="00590014" w:rsidRPr="001C0BEF">
        <w:rPr>
          <w:rFonts w:eastAsia="Calibri" w:cs="Arial"/>
          <w:color w:val="auto"/>
          <w:lang w:eastAsia="en-US"/>
        </w:rPr>
        <w:t xml:space="preserve"> </w:t>
      </w:r>
      <w:r w:rsidRPr="001C0BEF">
        <w:rPr>
          <w:rFonts w:eastAsia="Calibri" w:cs="Arial"/>
          <w:color w:val="auto"/>
          <w:lang w:eastAsia="en-US"/>
        </w:rPr>
        <w:t xml:space="preserve">reduce </w:t>
      </w:r>
      <w:r w:rsidR="00C062A5" w:rsidRPr="001C0BEF">
        <w:rPr>
          <w:rFonts w:eastAsia="Calibri" w:cs="Arial"/>
          <w:color w:val="auto"/>
          <w:lang w:eastAsia="en-US"/>
        </w:rPr>
        <w:t>overheads</w:t>
      </w:r>
      <w:r w:rsidRPr="001C0BEF">
        <w:rPr>
          <w:rFonts w:eastAsia="Calibri" w:cs="Arial"/>
          <w:color w:val="auto"/>
          <w:lang w:eastAsia="en-US"/>
        </w:rPr>
        <w:t xml:space="preserve"> and ensure greater outcomes for customers</w:t>
      </w:r>
      <w:r w:rsidR="008F6D49" w:rsidRPr="001C0BEF">
        <w:rPr>
          <w:rFonts w:eastAsia="Calibri" w:cs="Arial"/>
          <w:color w:val="auto"/>
          <w:lang w:eastAsia="en-US"/>
        </w:rPr>
        <w:t xml:space="preserve"> in line with the Council’s Financial Inclusion Strategy</w:t>
      </w:r>
      <w:r w:rsidRPr="001C0BEF">
        <w:rPr>
          <w:rFonts w:eastAsia="Calibri" w:cs="Arial"/>
          <w:color w:val="auto"/>
          <w:lang w:eastAsia="en-US"/>
        </w:rPr>
        <w:t>.</w:t>
      </w:r>
    </w:p>
    <w:p w:rsidR="00680620" w:rsidRPr="001C0BEF" w:rsidRDefault="00680620" w:rsidP="00680620">
      <w:pPr>
        <w:spacing w:after="0"/>
        <w:rPr>
          <w:rFonts w:eastAsia="Calibri" w:cs="Arial"/>
          <w:color w:val="auto"/>
          <w:lang w:eastAsia="en-US"/>
        </w:rPr>
      </w:pPr>
    </w:p>
    <w:p w:rsidR="00680620" w:rsidRPr="001C0BEF" w:rsidRDefault="00680620" w:rsidP="00680620">
      <w:pPr>
        <w:numPr>
          <w:ilvl w:val="0"/>
          <w:numId w:val="37"/>
        </w:numPr>
        <w:spacing w:after="0"/>
        <w:rPr>
          <w:rFonts w:eastAsia="Calibri" w:cs="Arial"/>
          <w:color w:val="auto"/>
          <w:lang w:eastAsia="en-US"/>
        </w:rPr>
      </w:pPr>
      <w:r w:rsidRPr="001C0BEF">
        <w:rPr>
          <w:rFonts w:eastAsia="Calibri" w:cs="Arial"/>
          <w:color w:val="auto"/>
          <w:lang w:eastAsia="en-US"/>
        </w:rPr>
        <w:t xml:space="preserve">A </w:t>
      </w:r>
      <w:r w:rsidR="00C062A5" w:rsidRPr="001C0BEF">
        <w:rPr>
          <w:rFonts w:eastAsia="Calibri" w:cs="Arial"/>
          <w:color w:val="auto"/>
          <w:lang w:eastAsia="en-US"/>
        </w:rPr>
        <w:t xml:space="preserve">true </w:t>
      </w:r>
      <w:r w:rsidRPr="001C0BEF">
        <w:rPr>
          <w:rFonts w:eastAsia="Calibri" w:cs="Arial"/>
          <w:color w:val="auto"/>
          <w:lang w:eastAsia="en-US"/>
        </w:rPr>
        <w:t>commissioning process would focus on the outcomes to be achieved</w:t>
      </w:r>
      <w:r w:rsidR="003A451C" w:rsidRPr="001C0BEF">
        <w:rPr>
          <w:rFonts w:eastAsia="Calibri" w:cs="Arial"/>
          <w:color w:val="auto"/>
          <w:lang w:eastAsia="en-US"/>
        </w:rPr>
        <w:t xml:space="preserve"> for customers</w:t>
      </w:r>
      <w:r w:rsidRPr="001C0BEF">
        <w:rPr>
          <w:rFonts w:eastAsia="Calibri" w:cs="Arial"/>
          <w:color w:val="auto"/>
          <w:lang w:eastAsia="en-US"/>
        </w:rPr>
        <w:t>.</w:t>
      </w:r>
      <w:r w:rsidR="0078618C" w:rsidRPr="001C0BEF">
        <w:rPr>
          <w:rFonts w:eastAsia="Calibri" w:cs="Arial"/>
          <w:color w:val="auto"/>
          <w:lang w:eastAsia="en-US"/>
        </w:rPr>
        <w:t xml:space="preserve"> </w:t>
      </w:r>
      <w:r w:rsidRPr="001C0BEF">
        <w:rPr>
          <w:rFonts w:eastAsia="Calibri" w:cs="Arial"/>
          <w:color w:val="auto"/>
          <w:lang w:eastAsia="en-US"/>
        </w:rPr>
        <w:t xml:space="preserve">In adopting </w:t>
      </w:r>
      <w:r w:rsidR="00D529E9" w:rsidRPr="001C0BEF">
        <w:rPr>
          <w:rFonts w:eastAsia="Calibri" w:cs="Arial"/>
          <w:color w:val="auto"/>
          <w:lang w:eastAsia="en-US"/>
        </w:rPr>
        <w:t>such an</w:t>
      </w:r>
      <w:r w:rsidRPr="001C0BEF">
        <w:rPr>
          <w:rFonts w:eastAsia="Calibri" w:cs="Arial"/>
          <w:color w:val="auto"/>
          <w:lang w:eastAsia="en-US"/>
        </w:rPr>
        <w:t xml:space="preserve"> approach to </w:t>
      </w:r>
      <w:r w:rsidR="00C40489" w:rsidRPr="001C0BEF">
        <w:rPr>
          <w:rFonts w:eastAsia="Calibri" w:cs="Arial"/>
          <w:color w:val="auto"/>
          <w:lang w:eastAsia="en-US"/>
        </w:rPr>
        <w:t>advice and money management</w:t>
      </w:r>
      <w:r w:rsidRPr="001C0BEF">
        <w:rPr>
          <w:rFonts w:eastAsia="Calibri" w:cs="Arial"/>
          <w:color w:val="auto"/>
          <w:lang w:eastAsia="en-US"/>
        </w:rPr>
        <w:t>, a specification will need to be developed in consultation with existing providers, stakeholders and customers, supported by a strong evidence base. This w</w:t>
      </w:r>
      <w:r w:rsidR="00D260AE" w:rsidRPr="001C0BEF">
        <w:rPr>
          <w:rFonts w:eastAsia="Calibri" w:cs="Arial"/>
          <w:color w:val="auto"/>
          <w:lang w:eastAsia="en-US"/>
        </w:rPr>
        <w:t>ill</w:t>
      </w:r>
      <w:r w:rsidRPr="001C0BEF">
        <w:rPr>
          <w:rFonts w:eastAsia="Calibri" w:cs="Arial"/>
          <w:color w:val="auto"/>
          <w:lang w:eastAsia="en-US"/>
        </w:rPr>
        <w:t xml:space="preserve"> require a programme of engagement to be conducted during 2017 </w:t>
      </w:r>
      <w:r w:rsidR="00683A3A" w:rsidRPr="001C0BEF">
        <w:rPr>
          <w:rFonts w:eastAsia="Calibri" w:cs="Arial"/>
          <w:color w:val="auto"/>
          <w:lang w:eastAsia="en-US"/>
        </w:rPr>
        <w:t xml:space="preserve">including face to face meetings with </w:t>
      </w:r>
      <w:r w:rsidR="002A33B1" w:rsidRPr="001C0BEF">
        <w:rPr>
          <w:rFonts w:eastAsia="Calibri" w:cs="Arial"/>
          <w:color w:val="auto"/>
          <w:lang w:eastAsia="en-US"/>
        </w:rPr>
        <w:t>the groups mentioned above</w:t>
      </w:r>
      <w:r w:rsidR="00683A3A" w:rsidRPr="001C0BEF">
        <w:rPr>
          <w:rFonts w:eastAsia="Calibri" w:cs="Arial"/>
          <w:color w:val="auto"/>
          <w:lang w:eastAsia="en-US"/>
        </w:rPr>
        <w:t>, as well as an online and postal survey to obtain a broad range of views. The objective of the consultation would be to</w:t>
      </w:r>
      <w:r w:rsidRPr="001C0BEF">
        <w:rPr>
          <w:rFonts w:eastAsia="Calibri" w:cs="Arial"/>
          <w:color w:val="auto"/>
          <w:lang w:eastAsia="en-US"/>
        </w:rPr>
        <w:t xml:space="preserve"> consider</w:t>
      </w:r>
      <w:r w:rsidR="00C40489" w:rsidRPr="001C0BEF">
        <w:rPr>
          <w:rFonts w:eastAsia="Calibri" w:cs="Arial"/>
          <w:color w:val="auto"/>
          <w:lang w:eastAsia="en-US"/>
        </w:rPr>
        <w:t xml:space="preserve"> the following</w:t>
      </w:r>
      <w:r w:rsidR="004148D4" w:rsidRPr="001C0BEF">
        <w:rPr>
          <w:rFonts w:eastAsia="Calibri" w:cs="Arial"/>
          <w:color w:val="auto"/>
          <w:lang w:eastAsia="en-US"/>
        </w:rPr>
        <w:t xml:space="preserve"> </w:t>
      </w:r>
      <w:r w:rsidR="004148D4" w:rsidRPr="001C0BEF">
        <w:rPr>
          <w:rFonts w:eastAsia="Calibri" w:cs="Arial"/>
          <w:i/>
          <w:color w:val="auto"/>
          <w:lang w:eastAsia="en-US"/>
        </w:rPr>
        <w:t>inter alia</w:t>
      </w:r>
      <w:r w:rsidRPr="001C0BEF">
        <w:rPr>
          <w:rFonts w:eastAsia="Calibri" w:cs="Arial"/>
          <w:color w:val="auto"/>
          <w:lang w:eastAsia="en-US"/>
        </w:rPr>
        <w:t>:</w:t>
      </w:r>
    </w:p>
    <w:p w:rsidR="00680620" w:rsidRPr="001C0BEF" w:rsidRDefault="00C40489" w:rsidP="00680620">
      <w:pPr>
        <w:numPr>
          <w:ilvl w:val="0"/>
          <w:numId w:val="39"/>
        </w:numPr>
        <w:spacing w:after="0" w:line="276" w:lineRule="auto"/>
        <w:rPr>
          <w:rFonts w:eastAsia="Calibri" w:cs="Arial"/>
          <w:color w:val="auto"/>
          <w:lang w:eastAsia="en-US"/>
        </w:rPr>
      </w:pPr>
      <w:r w:rsidRPr="001C0BEF">
        <w:rPr>
          <w:rFonts w:eastAsia="Calibri" w:cs="Arial"/>
          <w:color w:val="auto"/>
          <w:lang w:eastAsia="en-US"/>
        </w:rPr>
        <w:t xml:space="preserve">the </w:t>
      </w:r>
      <w:r w:rsidR="00683A3A" w:rsidRPr="001C0BEF">
        <w:rPr>
          <w:rFonts w:eastAsia="Calibri" w:cs="Arial"/>
          <w:color w:val="auto"/>
          <w:lang w:eastAsia="en-US"/>
        </w:rPr>
        <w:t>key outcomes required</w:t>
      </w:r>
      <w:r w:rsidR="00680620" w:rsidRPr="001C0BEF">
        <w:rPr>
          <w:rFonts w:eastAsia="Calibri" w:cs="Arial"/>
          <w:color w:val="auto"/>
          <w:lang w:eastAsia="en-US"/>
        </w:rPr>
        <w:t xml:space="preserve"> </w:t>
      </w:r>
      <w:r w:rsidR="0078618C" w:rsidRPr="001C0BEF">
        <w:rPr>
          <w:rFonts w:eastAsia="Calibri" w:cs="Arial"/>
          <w:color w:val="auto"/>
          <w:lang w:eastAsia="en-US"/>
        </w:rPr>
        <w:t xml:space="preserve">(which may see the </w:t>
      </w:r>
      <w:r w:rsidR="00680620" w:rsidRPr="001C0BEF">
        <w:rPr>
          <w:rFonts w:eastAsia="Calibri" w:cs="Arial"/>
          <w:color w:val="auto"/>
          <w:lang w:eastAsia="en-US"/>
        </w:rPr>
        <w:t xml:space="preserve">advice and money management </w:t>
      </w:r>
      <w:r w:rsidR="0078618C" w:rsidRPr="001C0BEF">
        <w:rPr>
          <w:rFonts w:eastAsia="Calibri" w:cs="Arial"/>
          <w:color w:val="auto"/>
          <w:lang w:eastAsia="en-US"/>
        </w:rPr>
        <w:t xml:space="preserve">theme being </w:t>
      </w:r>
      <w:r w:rsidRPr="001C0BEF">
        <w:rPr>
          <w:rFonts w:eastAsia="Calibri" w:cs="Arial"/>
          <w:color w:val="auto"/>
          <w:lang w:eastAsia="en-US"/>
        </w:rPr>
        <w:t xml:space="preserve">expanded </w:t>
      </w:r>
      <w:r w:rsidR="0078618C" w:rsidRPr="001C0BEF">
        <w:rPr>
          <w:rFonts w:eastAsia="Calibri" w:cs="Arial"/>
          <w:color w:val="auto"/>
          <w:lang w:eastAsia="en-US"/>
        </w:rPr>
        <w:t>to better reflect identified needs)</w:t>
      </w:r>
      <w:r w:rsidRPr="001C0BEF">
        <w:rPr>
          <w:rFonts w:eastAsia="Calibri" w:cs="Arial"/>
          <w:color w:val="auto"/>
          <w:lang w:eastAsia="en-US"/>
        </w:rPr>
        <w:t>;</w:t>
      </w:r>
    </w:p>
    <w:p w:rsidR="00680620" w:rsidRPr="001C0BEF" w:rsidRDefault="00C40489" w:rsidP="00680620">
      <w:pPr>
        <w:numPr>
          <w:ilvl w:val="0"/>
          <w:numId w:val="39"/>
        </w:numPr>
        <w:spacing w:after="0" w:line="276" w:lineRule="auto"/>
        <w:rPr>
          <w:rFonts w:eastAsia="Calibri" w:cs="Arial"/>
          <w:color w:val="auto"/>
          <w:lang w:eastAsia="en-US"/>
        </w:rPr>
      </w:pPr>
      <w:r w:rsidRPr="001C0BEF">
        <w:rPr>
          <w:rFonts w:eastAsia="Calibri" w:cs="Arial"/>
          <w:color w:val="auto"/>
          <w:lang w:eastAsia="en-US"/>
        </w:rPr>
        <w:t xml:space="preserve">how </w:t>
      </w:r>
      <w:r w:rsidR="00680620" w:rsidRPr="001C0BEF">
        <w:rPr>
          <w:rFonts w:eastAsia="Calibri" w:cs="Arial"/>
          <w:color w:val="auto"/>
          <w:lang w:eastAsia="en-US"/>
        </w:rPr>
        <w:t>customers engage with services, including access for hard to reach customers</w:t>
      </w:r>
      <w:r w:rsidR="004148D4" w:rsidRPr="001C0BEF">
        <w:rPr>
          <w:rFonts w:eastAsia="Calibri" w:cs="Arial"/>
          <w:color w:val="auto"/>
          <w:lang w:eastAsia="en-US"/>
        </w:rPr>
        <w:t>;</w:t>
      </w:r>
    </w:p>
    <w:p w:rsidR="00680620" w:rsidRPr="001C0BEF" w:rsidRDefault="004148D4" w:rsidP="00680620">
      <w:pPr>
        <w:numPr>
          <w:ilvl w:val="0"/>
          <w:numId w:val="39"/>
        </w:numPr>
        <w:spacing w:after="0" w:line="276" w:lineRule="auto"/>
        <w:rPr>
          <w:rFonts w:eastAsia="Calibri" w:cs="Arial"/>
          <w:color w:val="auto"/>
          <w:lang w:eastAsia="en-US"/>
        </w:rPr>
      </w:pPr>
      <w:r w:rsidRPr="001C0BEF">
        <w:rPr>
          <w:rFonts w:eastAsia="Calibri" w:cs="Arial"/>
          <w:color w:val="auto"/>
          <w:lang w:eastAsia="en-US"/>
        </w:rPr>
        <w:t xml:space="preserve">how </w:t>
      </w:r>
      <w:r w:rsidR="00680620" w:rsidRPr="001C0BEF">
        <w:rPr>
          <w:rFonts w:eastAsia="Calibri" w:cs="Arial"/>
          <w:color w:val="auto"/>
          <w:lang w:eastAsia="en-US"/>
        </w:rPr>
        <w:t>duplication of effort</w:t>
      </w:r>
      <w:r w:rsidR="00544956" w:rsidRPr="001C0BEF">
        <w:rPr>
          <w:rFonts w:eastAsia="Calibri" w:cs="Arial"/>
          <w:color w:val="auto"/>
          <w:lang w:eastAsia="en-US"/>
        </w:rPr>
        <w:t xml:space="preserve"> </w:t>
      </w:r>
      <w:r w:rsidR="00680620" w:rsidRPr="001C0BEF">
        <w:rPr>
          <w:rFonts w:eastAsia="Calibri" w:cs="Arial"/>
          <w:color w:val="auto"/>
          <w:lang w:eastAsia="en-US"/>
        </w:rPr>
        <w:t>between services and agencies can be avoided</w:t>
      </w:r>
      <w:r w:rsidRPr="001C0BEF">
        <w:rPr>
          <w:rFonts w:eastAsia="Calibri" w:cs="Arial"/>
          <w:color w:val="auto"/>
          <w:lang w:eastAsia="en-US"/>
        </w:rPr>
        <w:t>;</w:t>
      </w:r>
    </w:p>
    <w:p w:rsidR="001C0BEF" w:rsidRPr="001C0BEF" w:rsidRDefault="004148D4" w:rsidP="00680620">
      <w:pPr>
        <w:numPr>
          <w:ilvl w:val="0"/>
          <w:numId w:val="39"/>
        </w:numPr>
        <w:spacing w:after="0" w:line="276" w:lineRule="auto"/>
        <w:rPr>
          <w:rFonts w:eastAsia="Calibri" w:cs="Arial"/>
          <w:color w:val="auto"/>
          <w:lang w:eastAsia="en-US"/>
        </w:rPr>
      </w:pPr>
      <w:r w:rsidRPr="001C0BEF">
        <w:rPr>
          <w:rFonts w:eastAsia="Calibri" w:cs="Arial"/>
          <w:color w:val="auto"/>
          <w:lang w:eastAsia="en-US"/>
        </w:rPr>
        <w:t xml:space="preserve">opportunities </w:t>
      </w:r>
      <w:r w:rsidR="00680620" w:rsidRPr="001C0BEF">
        <w:rPr>
          <w:rFonts w:eastAsia="Calibri" w:cs="Arial"/>
          <w:color w:val="auto"/>
          <w:lang w:eastAsia="en-US"/>
        </w:rPr>
        <w:t>for partnership delivery</w:t>
      </w:r>
      <w:r w:rsidRPr="001C0BEF">
        <w:rPr>
          <w:rFonts w:eastAsia="Calibri" w:cs="Arial"/>
          <w:color w:val="auto"/>
          <w:lang w:eastAsia="en-US"/>
        </w:rPr>
        <w:t>;</w:t>
      </w:r>
    </w:p>
    <w:p w:rsidR="00680620" w:rsidRPr="001C0BEF" w:rsidRDefault="004148D4" w:rsidP="00680620">
      <w:pPr>
        <w:numPr>
          <w:ilvl w:val="0"/>
          <w:numId w:val="39"/>
        </w:numPr>
        <w:spacing w:after="0" w:line="276" w:lineRule="auto"/>
        <w:rPr>
          <w:rFonts w:eastAsia="Calibri" w:cs="Arial"/>
          <w:color w:val="auto"/>
          <w:lang w:eastAsia="en-US"/>
        </w:rPr>
      </w:pPr>
      <w:proofErr w:type="gramStart"/>
      <w:r w:rsidRPr="001C0BEF">
        <w:rPr>
          <w:rFonts w:eastAsia="Calibri" w:cs="Arial"/>
          <w:color w:val="auto"/>
          <w:lang w:eastAsia="en-US"/>
        </w:rPr>
        <w:t>how</w:t>
      </w:r>
      <w:proofErr w:type="gramEnd"/>
      <w:r w:rsidRPr="001C0BEF">
        <w:rPr>
          <w:rFonts w:eastAsia="Calibri" w:cs="Arial"/>
          <w:color w:val="auto"/>
          <w:lang w:eastAsia="en-US"/>
        </w:rPr>
        <w:t xml:space="preserve"> </w:t>
      </w:r>
      <w:r w:rsidR="00680620" w:rsidRPr="001C0BEF">
        <w:rPr>
          <w:rFonts w:eastAsia="Calibri" w:cs="Arial"/>
          <w:color w:val="auto"/>
          <w:lang w:eastAsia="en-US"/>
        </w:rPr>
        <w:t>to effectively monitor commissioned services</w:t>
      </w:r>
      <w:r w:rsidRPr="001C0BEF">
        <w:rPr>
          <w:rFonts w:eastAsia="Calibri" w:cs="Arial"/>
          <w:color w:val="auto"/>
          <w:lang w:eastAsia="en-US"/>
        </w:rPr>
        <w:t>.</w:t>
      </w:r>
    </w:p>
    <w:p w:rsidR="00680620" w:rsidRPr="001C0BEF" w:rsidRDefault="00680620" w:rsidP="00680620">
      <w:pPr>
        <w:spacing w:after="0"/>
        <w:rPr>
          <w:rFonts w:eastAsia="Calibri" w:cs="Arial"/>
          <w:color w:val="auto"/>
          <w:lang w:eastAsia="en-US"/>
        </w:rPr>
      </w:pPr>
    </w:p>
    <w:p w:rsidR="00680620" w:rsidRPr="001C0BEF" w:rsidRDefault="00680620" w:rsidP="00680620">
      <w:pPr>
        <w:numPr>
          <w:ilvl w:val="0"/>
          <w:numId w:val="37"/>
        </w:numPr>
        <w:spacing w:after="0"/>
        <w:rPr>
          <w:rFonts w:eastAsia="Calibri" w:cs="Arial"/>
          <w:color w:val="auto"/>
          <w:lang w:eastAsia="en-US"/>
        </w:rPr>
      </w:pPr>
      <w:r w:rsidRPr="001C0BEF">
        <w:rPr>
          <w:rFonts w:eastAsia="Calibri" w:cs="Arial"/>
          <w:color w:val="auto"/>
          <w:lang w:eastAsia="en-US"/>
        </w:rPr>
        <w:t xml:space="preserve">This approach incorporates relevant elements </w:t>
      </w:r>
      <w:r w:rsidR="004148D4" w:rsidRPr="001C0BEF">
        <w:rPr>
          <w:rFonts w:eastAsia="Calibri" w:cs="Arial"/>
          <w:color w:val="auto"/>
          <w:lang w:eastAsia="en-US"/>
        </w:rPr>
        <w:t xml:space="preserve">from </w:t>
      </w:r>
      <w:r w:rsidRPr="001C0BEF">
        <w:rPr>
          <w:rFonts w:eastAsia="Calibri" w:cs="Arial"/>
          <w:color w:val="auto"/>
          <w:lang w:eastAsia="en-US"/>
        </w:rPr>
        <w:t>the National Audit Office’s eight principles of good commissioning</w:t>
      </w:r>
      <w:r w:rsidR="0078618C" w:rsidRPr="001C0BEF">
        <w:rPr>
          <w:rFonts w:eastAsia="Calibri" w:cs="Arial"/>
          <w:color w:val="auto"/>
          <w:lang w:eastAsia="en-US"/>
        </w:rPr>
        <w:t xml:space="preserve"> (these are shown at Appendix 3)</w:t>
      </w:r>
      <w:r w:rsidRPr="001C0BEF">
        <w:rPr>
          <w:rFonts w:eastAsia="Calibri" w:cs="Arial"/>
          <w:color w:val="auto"/>
          <w:lang w:eastAsia="en-US"/>
        </w:rPr>
        <w:t>. The evidence obtained from this process would inform the design of a specification which would have regard to the following elements:</w:t>
      </w:r>
    </w:p>
    <w:p w:rsidR="00680620" w:rsidRPr="001C0BEF" w:rsidRDefault="00680620" w:rsidP="00680620">
      <w:pPr>
        <w:numPr>
          <w:ilvl w:val="0"/>
          <w:numId w:val="40"/>
        </w:numPr>
        <w:spacing w:after="0" w:line="276" w:lineRule="auto"/>
        <w:rPr>
          <w:rFonts w:eastAsia="Calibri" w:cs="Arial"/>
          <w:color w:val="auto"/>
          <w:lang w:eastAsia="en-US"/>
        </w:rPr>
      </w:pPr>
      <w:r w:rsidRPr="001C0BEF">
        <w:rPr>
          <w:rFonts w:eastAsia="Calibri" w:cs="Arial"/>
          <w:color w:val="auto"/>
          <w:lang w:eastAsia="en-US"/>
        </w:rPr>
        <w:t>type of services to be delivered (e.g. debt advice, benefits advice)</w:t>
      </w:r>
    </w:p>
    <w:p w:rsidR="00680620" w:rsidRPr="001C0BEF" w:rsidRDefault="00680620" w:rsidP="00680620">
      <w:pPr>
        <w:numPr>
          <w:ilvl w:val="0"/>
          <w:numId w:val="40"/>
        </w:numPr>
        <w:spacing w:after="0" w:line="276" w:lineRule="auto"/>
        <w:rPr>
          <w:rFonts w:eastAsia="Calibri" w:cs="Arial"/>
          <w:color w:val="auto"/>
          <w:lang w:eastAsia="en-US"/>
        </w:rPr>
      </w:pPr>
      <w:r w:rsidRPr="001C0BEF">
        <w:rPr>
          <w:rFonts w:eastAsia="Calibri" w:cs="Arial"/>
          <w:color w:val="auto"/>
          <w:lang w:eastAsia="en-US"/>
        </w:rPr>
        <w:t>funding to be allocated to different services</w:t>
      </w:r>
    </w:p>
    <w:p w:rsidR="00680620" w:rsidRPr="001C0BEF" w:rsidRDefault="00680620" w:rsidP="00680620">
      <w:pPr>
        <w:numPr>
          <w:ilvl w:val="0"/>
          <w:numId w:val="40"/>
        </w:numPr>
        <w:spacing w:after="0" w:line="276" w:lineRule="auto"/>
        <w:rPr>
          <w:rFonts w:eastAsia="Calibri" w:cs="Arial"/>
          <w:color w:val="auto"/>
          <w:lang w:eastAsia="en-US"/>
        </w:rPr>
      </w:pPr>
      <w:proofErr w:type="gramStart"/>
      <w:r w:rsidRPr="001C0BEF">
        <w:rPr>
          <w:rFonts w:eastAsia="Calibri" w:cs="Arial"/>
          <w:color w:val="auto"/>
          <w:lang w:eastAsia="en-US"/>
        </w:rPr>
        <w:t>way</w:t>
      </w:r>
      <w:proofErr w:type="gramEnd"/>
      <w:r w:rsidRPr="001C0BEF">
        <w:rPr>
          <w:rFonts w:eastAsia="Calibri" w:cs="Arial"/>
          <w:color w:val="auto"/>
          <w:lang w:eastAsia="en-US"/>
        </w:rPr>
        <w:t xml:space="preserve"> customers access the services (e.g. by phone, face to face etc.)</w:t>
      </w:r>
    </w:p>
    <w:p w:rsidR="00680620" w:rsidRPr="001C0BEF" w:rsidRDefault="00680620" w:rsidP="00680620">
      <w:pPr>
        <w:numPr>
          <w:ilvl w:val="0"/>
          <w:numId w:val="40"/>
        </w:numPr>
        <w:spacing w:after="0" w:line="276" w:lineRule="auto"/>
        <w:rPr>
          <w:rFonts w:eastAsia="Calibri" w:cs="Arial"/>
          <w:color w:val="auto"/>
          <w:lang w:eastAsia="en-US"/>
        </w:rPr>
      </w:pPr>
      <w:r w:rsidRPr="001C0BEF">
        <w:rPr>
          <w:rFonts w:eastAsia="Calibri" w:cs="Arial"/>
          <w:color w:val="auto"/>
          <w:lang w:eastAsia="en-US"/>
        </w:rPr>
        <w:t>outcomes required f</w:t>
      </w:r>
      <w:r w:rsidR="008B37F1" w:rsidRPr="001C0BEF">
        <w:rPr>
          <w:rFonts w:eastAsia="Calibri" w:cs="Arial"/>
          <w:color w:val="auto"/>
          <w:lang w:eastAsia="en-US"/>
        </w:rPr>
        <w:t>r</w:t>
      </w:r>
      <w:r w:rsidRPr="001C0BEF">
        <w:rPr>
          <w:rFonts w:eastAsia="Calibri" w:cs="Arial"/>
          <w:color w:val="auto"/>
          <w:lang w:eastAsia="en-US"/>
        </w:rPr>
        <w:t xml:space="preserve">om the services </w:t>
      </w:r>
    </w:p>
    <w:p w:rsidR="00680620" w:rsidRPr="001C0BEF" w:rsidRDefault="00680620" w:rsidP="00680620">
      <w:pPr>
        <w:numPr>
          <w:ilvl w:val="0"/>
          <w:numId w:val="40"/>
        </w:numPr>
        <w:spacing w:after="0" w:line="276" w:lineRule="auto"/>
        <w:rPr>
          <w:rFonts w:eastAsia="Calibri" w:cs="Arial"/>
          <w:color w:val="auto"/>
          <w:lang w:eastAsia="en-US"/>
        </w:rPr>
      </w:pPr>
      <w:r w:rsidRPr="001C0BEF">
        <w:rPr>
          <w:rFonts w:eastAsia="Calibri" w:cs="Arial"/>
          <w:color w:val="auto"/>
          <w:lang w:eastAsia="en-US"/>
        </w:rPr>
        <w:t>monitoring information required from the services</w:t>
      </w:r>
    </w:p>
    <w:p w:rsidR="00680620" w:rsidRPr="001C0BEF" w:rsidRDefault="00680620" w:rsidP="00680620">
      <w:pPr>
        <w:spacing w:after="0"/>
        <w:rPr>
          <w:rFonts w:eastAsia="Calibri" w:cs="Arial"/>
          <w:color w:val="auto"/>
          <w:lang w:eastAsia="en-US"/>
        </w:rPr>
      </w:pPr>
    </w:p>
    <w:p w:rsidR="00680620" w:rsidRPr="001C0BEF" w:rsidRDefault="00680620" w:rsidP="00680620">
      <w:pPr>
        <w:numPr>
          <w:ilvl w:val="0"/>
          <w:numId w:val="37"/>
        </w:numPr>
        <w:spacing w:after="0"/>
        <w:rPr>
          <w:rFonts w:eastAsia="Calibri" w:cs="Arial"/>
          <w:color w:val="auto"/>
          <w:lang w:eastAsia="en-US"/>
        </w:rPr>
      </w:pPr>
      <w:r w:rsidRPr="001C0BEF">
        <w:rPr>
          <w:rFonts w:eastAsia="Calibri" w:cs="Arial"/>
          <w:color w:val="auto"/>
          <w:lang w:eastAsia="en-US"/>
        </w:rPr>
        <w:t xml:space="preserve">It is intended that work to develop a specification would </w:t>
      </w:r>
      <w:r w:rsidR="008B37F1" w:rsidRPr="001C0BEF">
        <w:rPr>
          <w:rFonts w:eastAsia="Calibri" w:cs="Arial"/>
          <w:color w:val="auto"/>
          <w:lang w:eastAsia="en-US"/>
        </w:rPr>
        <w:t xml:space="preserve">commence </w:t>
      </w:r>
      <w:r w:rsidRPr="001C0BEF">
        <w:rPr>
          <w:rFonts w:eastAsia="Calibri" w:cs="Arial"/>
          <w:color w:val="auto"/>
          <w:lang w:eastAsia="en-US"/>
        </w:rPr>
        <w:t xml:space="preserve">in early 2017 so that formal commissioning could </w:t>
      </w:r>
      <w:r w:rsidR="00AF71E3" w:rsidRPr="001C0BEF">
        <w:rPr>
          <w:rFonts w:eastAsia="Calibri" w:cs="Arial"/>
          <w:color w:val="auto"/>
          <w:lang w:eastAsia="en-US"/>
        </w:rPr>
        <w:t xml:space="preserve">start </w:t>
      </w:r>
      <w:r w:rsidRPr="001C0BEF">
        <w:rPr>
          <w:rFonts w:eastAsia="Calibri" w:cs="Arial"/>
          <w:color w:val="auto"/>
          <w:lang w:eastAsia="en-US"/>
        </w:rPr>
        <w:t xml:space="preserve">in September 2017, with successful </w:t>
      </w:r>
      <w:r w:rsidR="004148D4" w:rsidRPr="001C0BEF">
        <w:rPr>
          <w:rFonts w:eastAsia="Calibri" w:cs="Arial"/>
          <w:color w:val="auto"/>
          <w:lang w:eastAsia="en-US"/>
        </w:rPr>
        <w:t xml:space="preserve">services </w:t>
      </w:r>
      <w:r w:rsidRPr="001C0BEF">
        <w:rPr>
          <w:rFonts w:eastAsia="Calibri" w:cs="Arial"/>
          <w:color w:val="auto"/>
          <w:lang w:eastAsia="en-US"/>
        </w:rPr>
        <w:t>being notified in November 2017.</w:t>
      </w:r>
    </w:p>
    <w:p w:rsidR="00680620" w:rsidRPr="001C0BEF" w:rsidRDefault="00680620" w:rsidP="00680620">
      <w:pPr>
        <w:spacing w:after="0"/>
        <w:rPr>
          <w:rFonts w:eastAsia="Calibri" w:cs="Arial"/>
          <w:color w:val="auto"/>
          <w:lang w:eastAsia="en-US"/>
        </w:rPr>
      </w:pPr>
    </w:p>
    <w:p w:rsidR="00680620" w:rsidRPr="001C0BEF" w:rsidRDefault="00680620" w:rsidP="00680620">
      <w:pPr>
        <w:numPr>
          <w:ilvl w:val="0"/>
          <w:numId w:val="37"/>
        </w:numPr>
        <w:spacing w:after="0"/>
        <w:rPr>
          <w:rFonts w:eastAsia="Calibri" w:cs="Arial"/>
          <w:color w:val="auto"/>
          <w:lang w:eastAsia="en-US"/>
        </w:rPr>
      </w:pPr>
      <w:r w:rsidRPr="001C0BEF">
        <w:rPr>
          <w:rFonts w:eastAsia="Calibri" w:cs="Arial"/>
          <w:color w:val="auto"/>
          <w:lang w:eastAsia="en-US"/>
        </w:rPr>
        <w:t xml:space="preserve">Organisations currently funded by the </w:t>
      </w:r>
      <w:r w:rsidR="004148D4" w:rsidRPr="001C0BEF">
        <w:rPr>
          <w:rFonts w:eastAsia="Calibri" w:cs="Arial"/>
          <w:color w:val="auto"/>
          <w:lang w:eastAsia="en-US"/>
        </w:rPr>
        <w:t xml:space="preserve">advice and money management </w:t>
      </w:r>
      <w:r w:rsidRPr="001C0BEF">
        <w:rPr>
          <w:rFonts w:eastAsia="Calibri" w:cs="Arial"/>
          <w:color w:val="auto"/>
          <w:lang w:eastAsia="en-US"/>
        </w:rPr>
        <w:t>commissioning theme have been consulted in the preparation of this paper</w:t>
      </w:r>
      <w:r w:rsidR="0078618C" w:rsidRPr="001C0BEF">
        <w:rPr>
          <w:rFonts w:eastAsia="Calibri" w:cs="Arial"/>
          <w:color w:val="auto"/>
          <w:lang w:eastAsia="en-US"/>
        </w:rPr>
        <w:t xml:space="preserve"> at a </w:t>
      </w:r>
      <w:r w:rsidR="0078618C" w:rsidRPr="001C0BEF">
        <w:rPr>
          <w:rFonts w:eastAsia="Calibri" w:cs="Arial"/>
          <w:color w:val="auto"/>
          <w:lang w:eastAsia="en-US"/>
        </w:rPr>
        <w:lastRenderedPageBreak/>
        <w:t>meeting</w:t>
      </w:r>
      <w:r w:rsidR="002C3AE7" w:rsidRPr="001C0BEF">
        <w:rPr>
          <w:rFonts w:eastAsia="Calibri" w:cs="Arial"/>
          <w:color w:val="auto"/>
          <w:lang w:eastAsia="en-US"/>
        </w:rPr>
        <w:t xml:space="preserve"> </w:t>
      </w:r>
      <w:r w:rsidR="0078618C" w:rsidRPr="001C0BEF">
        <w:rPr>
          <w:rFonts w:eastAsia="Calibri" w:cs="Arial"/>
          <w:color w:val="auto"/>
          <w:lang w:eastAsia="en-US"/>
        </w:rPr>
        <w:t>held on 26 October 2016. They were broadly supportive of the approach outlined above</w:t>
      </w:r>
      <w:r w:rsidR="00AE44D0" w:rsidRPr="001C0BEF">
        <w:rPr>
          <w:rFonts w:eastAsia="Calibri" w:cs="Arial"/>
          <w:color w:val="auto"/>
          <w:lang w:eastAsia="en-US"/>
        </w:rPr>
        <w:t xml:space="preserve"> but were concerned to ensure that a commissioning approach delivered the services that people need</w:t>
      </w:r>
      <w:r w:rsidR="00AF71E3" w:rsidRPr="001C0BEF">
        <w:rPr>
          <w:rFonts w:eastAsia="Calibri" w:cs="Arial"/>
          <w:color w:val="auto"/>
          <w:lang w:eastAsia="en-US"/>
        </w:rPr>
        <w:t>.</w:t>
      </w:r>
    </w:p>
    <w:p w:rsidR="0040736F" w:rsidRPr="001C0BEF" w:rsidRDefault="00680620" w:rsidP="00680620">
      <w:pPr>
        <w:pStyle w:val="Heading1"/>
        <w:ind w:left="360"/>
        <w:rPr>
          <w:rFonts w:cs="Arial"/>
        </w:rPr>
      </w:pPr>
      <w:r w:rsidRPr="001C0BEF">
        <w:rPr>
          <w:rFonts w:cs="Arial"/>
        </w:rPr>
        <w:t>F</w:t>
      </w:r>
      <w:r w:rsidR="002329CF" w:rsidRPr="001C0BEF">
        <w:rPr>
          <w:rFonts w:cs="Arial"/>
        </w:rPr>
        <w:t>inancial implications</w:t>
      </w:r>
    </w:p>
    <w:p w:rsidR="00680620" w:rsidRPr="001C0BEF" w:rsidRDefault="00680620" w:rsidP="00AE44D0">
      <w:pPr>
        <w:numPr>
          <w:ilvl w:val="0"/>
          <w:numId w:val="37"/>
        </w:numPr>
      </w:pPr>
      <w:r w:rsidRPr="001C0BEF">
        <w:t xml:space="preserve">The report proposes a new approach </w:t>
      </w:r>
      <w:r w:rsidR="00E01573" w:rsidRPr="001C0BEF">
        <w:t xml:space="preserve">to commissioning third sector support in relation to advice and money </w:t>
      </w:r>
      <w:r w:rsidR="00313D23" w:rsidRPr="001C0BEF">
        <w:t>management, in</w:t>
      </w:r>
      <w:r w:rsidR="00E01573" w:rsidRPr="001C0BEF">
        <w:t xml:space="preserve"> order to increase the</w:t>
      </w:r>
      <w:r w:rsidR="00C904CC" w:rsidRPr="001C0BEF">
        <w:t xml:space="preserve"> </w:t>
      </w:r>
      <w:r w:rsidR="00B72A15" w:rsidRPr="001C0BEF">
        <w:t>productivity derived</w:t>
      </w:r>
      <w:r w:rsidR="00313D23" w:rsidRPr="001C0BEF">
        <w:t xml:space="preserve"> from the available </w:t>
      </w:r>
      <w:r w:rsidR="00B72A15" w:rsidRPr="001C0BEF">
        <w:t>budget (</w:t>
      </w:r>
      <w:r w:rsidRPr="001C0BEF">
        <w:t>£518,379</w:t>
      </w:r>
      <w:r w:rsidR="00313D23" w:rsidRPr="001C0BEF">
        <w:t>)</w:t>
      </w:r>
      <w:r w:rsidRPr="001C0BEF">
        <w:t>.</w:t>
      </w:r>
      <w:r w:rsidR="00AF71E3" w:rsidRPr="001C0BEF">
        <w:t xml:space="preserve"> </w:t>
      </w:r>
      <w:r w:rsidR="00AE44D0" w:rsidRPr="001C0BEF">
        <w:t xml:space="preserve"> As stated above, Council grants are coming under increasing pressure, and so the effectiveness of available funds must be maximised, and their use must be linked directly to customer outcomes.</w:t>
      </w:r>
      <w:r w:rsidR="00AF71E3" w:rsidRPr="001C0BEF">
        <w:t xml:space="preserve">  </w:t>
      </w:r>
      <w:r w:rsidRPr="001C0BEF">
        <w:t>However</w:t>
      </w:r>
      <w:r w:rsidR="00042206" w:rsidRPr="001C0BEF">
        <w:t>,</w:t>
      </w:r>
      <w:r w:rsidRPr="001C0BEF">
        <w:t xml:space="preserve"> there are no significant financial implications of this report.</w:t>
      </w:r>
    </w:p>
    <w:p w:rsidR="00B72A15" w:rsidRPr="001C0BEF" w:rsidRDefault="00B72A15" w:rsidP="00B72A15">
      <w:pPr>
        <w:ind w:left="360"/>
        <w:rPr>
          <w:b/>
        </w:rPr>
      </w:pPr>
      <w:r w:rsidRPr="001C0BEF">
        <w:rPr>
          <w:b/>
        </w:rPr>
        <w:t>Legal issues</w:t>
      </w:r>
    </w:p>
    <w:p w:rsidR="00680620" w:rsidRPr="001C0BEF" w:rsidRDefault="00407C30" w:rsidP="00680620">
      <w:pPr>
        <w:numPr>
          <w:ilvl w:val="0"/>
          <w:numId w:val="37"/>
        </w:numPr>
      </w:pPr>
      <w:r w:rsidRPr="001C0BEF">
        <w:t>There are no legal implications of this report.</w:t>
      </w:r>
      <w:r w:rsidR="00680620" w:rsidRPr="001C0BEF">
        <w:tab/>
      </w:r>
    </w:p>
    <w:p w:rsidR="002329CF" w:rsidRPr="001C0BEF" w:rsidRDefault="002329CF" w:rsidP="00B72A15">
      <w:pPr>
        <w:pStyle w:val="Heading1"/>
        <w:ind w:left="360"/>
      </w:pPr>
      <w:r w:rsidRPr="001C0BEF">
        <w:t>Level of risk</w:t>
      </w:r>
    </w:p>
    <w:p w:rsidR="00680620" w:rsidRPr="001C0BEF" w:rsidRDefault="00407C30" w:rsidP="00680620">
      <w:pPr>
        <w:numPr>
          <w:ilvl w:val="0"/>
          <w:numId w:val="37"/>
        </w:numPr>
      </w:pPr>
      <w:r w:rsidRPr="001C0BEF">
        <w:t xml:space="preserve">A risk register is attached at Appendix </w:t>
      </w:r>
      <w:r w:rsidR="00AF71E3" w:rsidRPr="001C0BEF">
        <w:t>o</w:t>
      </w:r>
      <w:r w:rsidRPr="001C0BEF">
        <w:t>ne.</w:t>
      </w:r>
    </w:p>
    <w:p w:rsidR="002329CF" w:rsidRPr="001C0BEF" w:rsidRDefault="002329CF" w:rsidP="00B72A15">
      <w:pPr>
        <w:pStyle w:val="Heading1"/>
        <w:ind w:left="360"/>
      </w:pPr>
      <w:r w:rsidRPr="001C0BEF">
        <w:t xml:space="preserve">Equalities impact </w:t>
      </w:r>
    </w:p>
    <w:p w:rsidR="00680620" w:rsidRPr="001C0BEF" w:rsidRDefault="00680620" w:rsidP="00680620">
      <w:pPr>
        <w:numPr>
          <w:ilvl w:val="0"/>
          <w:numId w:val="37"/>
        </w:numPr>
      </w:pPr>
      <w:r w:rsidRPr="001C0BEF">
        <w:t>An initial equalitie</w:t>
      </w:r>
      <w:r w:rsidR="00407C30" w:rsidRPr="001C0BEF">
        <w:t>s impact assessment is attached at Appendix two.</w:t>
      </w:r>
    </w:p>
    <w:p w:rsidR="00E206D6" w:rsidRPr="001C0BEF" w:rsidRDefault="00E206D6" w:rsidP="00E206D6">
      <w:pPr>
        <w:pStyle w:val="ListParagraph"/>
        <w:numPr>
          <w:ilvl w:val="0"/>
          <w:numId w:val="0"/>
        </w:numPr>
        <w:ind w:left="426"/>
      </w:pPr>
    </w:p>
    <w:p w:rsidR="002329CF" w:rsidRPr="001C0BEF"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C0BEF"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C0BEF" w:rsidRDefault="00E87F7A" w:rsidP="00A46E98">
            <w:pPr>
              <w:rPr>
                <w:b/>
              </w:rPr>
            </w:pPr>
            <w:r w:rsidRPr="001C0BEF">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C0BEF" w:rsidRDefault="00680620" w:rsidP="00680620">
            <w:r w:rsidRPr="001C0BEF">
              <w:t>Paul Wilding</w:t>
            </w:r>
          </w:p>
        </w:tc>
      </w:tr>
      <w:tr w:rsidR="00DF093E" w:rsidRPr="001C0BEF"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C0BEF" w:rsidRDefault="00E87F7A" w:rsidP="00A46E98">
            <w:r w:rsidRPr="001C0BEF">
              <w:t>Job title</w:t>
            </w:r>
          </w:p>
        </w:tc>
        <w:tc>
          <w:tcPr>
            <w:tcW w:w="4962" w:type="dxa"/>
            <w:tcBorders>
              <w:top w:val="single" w:sz="8" w:space="0" w:color="000000"/>
              <w:left w:val="nil"/>
              <w:bottom w:val="nil"/>
              <w:right w:val="single" w:sz="8" w:space="0" w:color="000000"/>
            </w:tcBorders>
            <w:shd w:val="clear" w:color="auto" w:fill="auto"/>
          </w:tcPr>
          <w:p w:rsidR="00E87F7A" w:rsidRPr="001C0BEF" w:rsidRDefault="00680620" w:rsidP="00A46E98">
            <w:r w:rsidRPr="001C0BEF">
              <w:t>Revenues &amp; Benefits Programme Manager</w:t>
            </w:r>
          </w:p>
        </w:tc>
      </w:tr>
      <w:tr w:rsidR="00DF093E" w:rsidRPr="001C0BEF" w:rsidTr="00A46E98">
        <w:trPr>
          <w:cantSplit/>
          <w:trHeight w:val="396"/>
        </w:trPr>
        <w:tc>
          <w:tcPr>
            <w:tcW w:w="3969" w:type="dxa"/>
            <w:tcBorders>
              <w:top w:val="nil"/>
              <w:left w:val="single" w:sz="8" w:space="0" w:color="000000"/>
              <w:bottom w:val="nil"/>
              <w:right w:val="nil"/>
            </w:tcBorders>
            <w:shd w:val="clear" w:color="auto" w:fill="auto"/>
          </w:tcPr>
          <w:p w:rsidR="00E87F7A" w:rsidRPr="001C0BEF" w:rsidRDefault="00E87F7A" w:rsidP="00A46E98">
            <w:r w:rsidRPr="001C0BEF">
              <w:t>Service area or department</w:t>
            </w:r>
          </w:p>
        </w:tc>
        <w:tc>
          <w:tcPr>
            <w:tcW w:w="4962" w:type="dxa"/>
            <w:tcBorders>
              <w:top w:val="nil"/>
              <w:left w:val="nil"/>
              <w:bottom w:val="nil"/>
              <w:right w:val="single" w:sz="8" w:space="0" w:color="000000"/>
            </w:tcBorders>
            <w:shd w:val="clear" w:color="auto" w:fill="auto"/>
          </w:tcPr>
          <w:p w:rsidR="00E87F7A" w:rsidRPr="001C0BEF" w:rsidRDefault="00680620" w:rsidP="00A46E98">
            <w:r w:rsidRPr="001C0BEF">
              <w:t>Welfare Reform Team</w:t>
            </w:r>
          </w:p>
        </w:tc>
      </w:tr>
      <w:tr w:rsidR="00DF093E" w:rsidRPr="001C0BEF" w:rsidTr="00A46E98">
        <w:trPr>
          <w:cantSplit/>
          <w:trHeight w:val="396"/>
        </w:trPr>
        <w:tc>
          <w:tcPr>
            <w:tcW w:w="3969" w:type="dxa"/>
            <w:tcBorders>
              <w:top w:val="nil"/>
              <w:left w:val="single" w:sz="8" w:space="0" w:color="000000"/>
              <w:bottom w:val="nil"/>
              <w:right w:val="nil"/>
            </w:tcBorders>
            <w:shd w:val="clear" w:color="auto" w:fill="auto"/>
          </w:tcPr>
          <w:p w:rsidR="00E87F7A" w:rsidRPr="001C0BEF" w:rsidRDefault="00E87F7A" w:rsidP="00A46E98">
            <w:r w:rsidRPr="001C0BEF">
              <w:t xml:space="preserve">Telephone </w:t>
            </w:r>
          </w:p>
        </w:tc>
        <w:tc>
          <w:tcPr>
            <w:tcW w:w="4962" w:type="dxa"/>
            <w:tcBorders>
              <w:top w:val="nil"/>
              <w:left w:val="nil"/>
              <w:bottom w:val="nil"/>
              <w:right w:val="single" w:sz="8" w:space="0" w:color="000000"/>
            </w:tcBorders>
            <w:shd w:val="clear" w:color="auto" w:fill="auto"/>
          </w:tcPr>
          <w:p w:rsidR="00E87F7A" w:rsidRPr="001C0BEF" w:rsidRDefault="00680620" w:rsidP="00A46E98">
            <w:r w:rsidRPr="001C0BEF">
              <w:t>01865 252461</w:t>
            </w:r>
          </w:p>
        </w:tc>
      </w:tr>
      <w:tr w:rsidR="005570B5" w:rsidRPr="001C0BEF"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C0BEF" w:rsidRDefault="00E87F7A" w:rsidP="00A46E98">
            <w:r w:rsidRPr="001C0BEF">
              <w:t xml:space="preserve">e-mail </w:t>
            </w:r>
          </w:p>
        </w:tc>
        <w:tc>
          <w:tcPr>
            <w:tcW w:w="4962" w:type="dxa"/>
            <w:tcBorders>
              <w:top w:val="nil"/>
              <w:left w:val="nil"/>
              <w:bottom w:val="single" w:sz="8" w:space="0" w:color="000000"/>
              <w:right w:val="single" w:sz="8" w:space="0" w:color="000000"/>
            </w:tcBorders>
            <w:shd w:val="clear" w:color="auto" w:fill="auto"/>
          </w:tcPr>
          <w:p w:rsidR="00E87F7A" w:rsidRPr="001C0BEF" w:rsidRDefault="00680620" w:rsidP="00A46E98">
            <w:pPr>
              <w:rPr>
                <w:rStyle w:val="Hyperlink"/>
                <w:color w:val="000000"/>
              </w:rPr>
            </w:pPr>
            <w:r w:rsidRPr="001C0BEF">
              <w:rPr>
                <w:rStyle w:val="Hyperlink"/>
                <w:color w:val="000000"/>
              </w:rPr>
              <w:t>pwilding@oxford.gov.uk</w:t>
            </w:r>
          </w:p>
        </w:tc>
      </w:tr>
    </w:tbl>
    <w:p w:rsidR="00433B96" w:rsidRPr="001C0BEF"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C0BEF"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C0BEF" w:rsidRDefault="00182B81" w:rsidP="00F41AC1">
            <w:r w:rsidRPr="001C0BEF">
              <w:rPr>
                <w:rStyle w:val="Firstpagetablebold"/>
              </w:rPr>
              <w:t xml:space="preserve">Background Papers: </w:t>
            </w:r>
            <w:r w:rsidRPr="001C0BEF">
              <w:rPr>
                <w:rStyle w:val="Firstpagetablebold"/>
                <w:b w:val="0"/>
              </w:rPr>
              <w:t>None</w:t>
            </w:r>
          </w:p>
        </w:tc>
      </w:tr>
    </w:tbl>
    <w:p w:rsidR="00CE4C87" w:rsidRPr="001C0BEF" w:rsidRDefault="00CE4C87" w:rsidP="0093067A"/>
    <w:sectPr w:rsidR="00CE4C87" w:rsidRPr="001C0BEF"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BC" w:rsidRDefault="00D76ABC" w:rsidP="004A6D2F">
      <w:r>
        <w:separator/>
      </w:r>
    </w:p>
  </w:endnote>
  <w:endnote w:type="continuationSeparator" w:id="0">
    <w:p w:rsidR="00D76ABC" w:rsidRDefault="00D76AB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BC" w:rsidRDefault="00D76ABC" w:rsidP="004A6D2F">
      <w:r>
        <w:separator/>
      </w:r>
    </w:p>
  </w:footnote>
  <w:footnote w:type="continuationSeparator" w:id="0">
    <w:p w:rsidR="00D76ABC" w:rsidRDefault="00D76AB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680620" w:rsidP="00D5547E">
    <w:pPr>
      <w:pStyle w:val="Header"/>
      <w:jc w:val="right"/>
    </w:pPr>
    <w:r>
      <w:rPr>
        <w:noProof/>
      </w:rPr>
      <w:drawing>
        <wp:inline distT="0" distB="0" distL="0" distR="0">
          <wp:extent cx="843280" cy="1117600"/>
          <wp:effectExtent l="0" t="0" r="0" b="6350"/>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92F5117"/>
    <w:multiLevelType w:val="hybridMultilevel"/>
    <w:tmpl w:val="2BF6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7C79B0"/>
    <w:multiLevelType w:val="hybridMultilevel"/>
    <w:tmpl w:val="432A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F85334"/>
    <w:multiLevelType w:val="hybridMultilevel"/>
    <w:tmpl w:val="8B9EC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00701AF"/>
    <w:multiLevelType w:val="hybridMultilevel"/>
    <w:tmpl w:val="FB823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094575"/>
    <w:multiLevelType w:val="hybridMultilevel"/>
    <w:tmpl w:val="D5D4C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F52718"/>
    <w:multiLevelType w:val="hybridMultilevel"/>
    <w:tmpl w:val="F7A65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762066F"/>
    <w:multiLevelType w:val="hybridMultilevel"/>
    <w:tmpl w:val="E862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22831"/>
    <w:multiLevelType w:val="multilevel"/>
    <w:tmpl w:val="43D6D2FA"/>
    <w:numStyleLink w:val="StyleBulletedSymbolsymbolLeft063cmHanging063cm"/>
  </w:abstractNum>
  <w:abstractNum w:abstractNumId="3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8365C6"/>
    <w:multiLevelType w:val="multilevel"/>
    <w:tmpl w:val="E67CE66C"/>
    <w:numStyleLink w:val="StyleNumberedLeft0cmHanging075cm"/>
  </w:abstractNum>
  <w:abstractNum w:abstractNumId="40">
    <w:nsid w:val="7BDF6F5F"/>
    <w:multiLevelType w:val="hybridMultilevel"/>
    <w:tmpl w:val="BF08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27"/>
  </w:num>
  <w:num w:numId="4">
    <w:abstractNumId w:val="19"/>
  </w:num>
  <w:num w:numId="5">
    <w:abstractNumId w:val="34"/>
  </w:num>
  <w:num w:numId="6">
    <w:abstractNumId w:val="38"/>
  </w:num>
  <w:num w:numId="7">
    <w:abstractNumId w:val="25"/>
  </w:num>
  <w:num w:numId="8">
    <w:abstractNumId w:val="21"/>
  </w:num>
  <w:num w:numId="9">
    <w:abstractNumId w:val="13"/>
  </w:num>
  <w:num w:numId="10">
    <w:abstractNumId w:val="16"/>
  </w:num>
  <w:num w:numId="11">
    <w:abstractNumId w:val="29"/>
  </w:num>
  <w:num w:numId="12">
    <w:abstractNumId w:val="28"/>
  </w:num>
  <w:num w:numId="13">
    <w:abstractNumId w:val="10"/>
  </w:num>
  <w:num w:numId="14">
    <w:abstractNumId w:val="39"/>
  </w:num>
  <w:num w:numId="15">
    <w:abstractNumId w:val="17"/>
  </w:num>
  <w:num w:numId="16">
    <w:abstractNumId w:val="11"/>
  </w:num>
  <w:num w:numId="17">
    <w:abstractNumId w:val="33"/>
  </w:num>
  <w:num w:numId="18">
    <w:abstractNumId w:val="12"/>
  </w:num>
  <w:num w:numId="19">
    <w:abstractNumId w:val="35"/>
  </w:num>
  <w:num w:numId="20">
    <w:abstractNumId w:val="18"/>
  </w:num>
  <w:num w:numId="21">
    <w:abstractNumId w:val="24"/>
  </w:num>
  <w:num w:numId="22">
    <w:abstractNumId w:val="14"/>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0"/>
  </w:num>
  <w:num w:numId="36">
    <w:abstractNumId w:val="32"/>
  </w:num>
  <w:num w:numId="37">
    <w:abstractNumId w:val="23"/>
  </w:num>
  <w:num w:numId="38">
    <w:abstractNumId w:val="30"/>
  </w:num>
  <w:num w:numId="39">
    <w:abstractNumId w:val="22"/>
  </w:num>
  <w:num w:numId="40">
    <w:abstractNumId w:val="26"/>
  </w:num>
  <w:num w:numId="41">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62F2"/>
    <w:rsid w:val="000314D7"/>
    <w:rsid w:val="00042206"/>
    <w:rsid w:val="00045F8B"/>
    <w:rsid w:val="00046D2B"/>
    <w:rsid w:val="00056263"/>
    <w:rsid w:val="00064D8A"/>
    <w:rsid w:val="00064F82"/>
    <w:rsid w:val="00066510"/>
    <w:rsid w:val="00077523"/>
    <w:rsid w:val="00093617"/>
    <w:rsid w:val="000C089F"/>
    <w:rsid w:val="000C1A16"/>
    <w:rsid w:val="000C3928"/>
    <w:rsid w:val="000C5E8E"/>
    <w:rsid w:val="000F26D6"/>
    <w:rsid w:val="000F4751"/>
    <w:rsid w:val="0010524C"/>
    <w:rsid w:val="00111FB1"/>
    <w:rsid w:val="00113418"/>
    <w:rsid w:val="00114135"/>
    <w:rsid w:val="00120B0B"/>
    <w:rsid w:val="001356F1"/>
    <w:rsid w:val="00136994"/>
    <w:rsid w:val="0014128E"/>
    <w:rsid w:val="00151888"/>
    <w:rsid w:val="00170A2D"/>
    <w:rsid w:val="001808BC"/>
    <w:rsid w:val="00182B81"/>
    <w:rsid w:val="0018619D"/>
    <w:rsid w:val="001A011E"/>
    <w:rsid w:val="001A066A"/>
    <w:rsid w:val="001A13E6"/>
    <w:rsid w:val="001A5731"/>
    <w:rsid w:val="001B42C3"/>
    <w:rsid w:val="001C0BEF"/>
    <w:rsid w:val="001C5D5E"/>
    <w:rsid w:val="001D20A0"/>
    <w:rsid w:val="001D678D"/>
    <w:rsid w:val="001E03F8"/>
    <w:rsid w:val="001E1678"/>
    <w:rsid w:val="001E3376"/>
    <w:rsid w:val="001F0921"/>
    <w:rsid w:val="001F7274"/>
    <w:rsid w:val="001F7ACA"/>
    <w:rsid w:val="0020248E"/>
    <w:rsid w:val="00202A90"/>
    <w:rsid w:val="002069B3"/>
    <w:rsid w:val="002329CF"/>
    <w:rsid w:val="00232F5B"/>
    <w:rsid w:val="00247C29"/>
    <w:rsid w:val="00260467"/>
    <w:rsid w:val="00263EA3"/>
    <w:rsid w:val="002833DA"/>
    <w:rsid w:val="00284F85"/>
    <w:rsid w:val="00290915"/>
    <w:rsid w:val="002A22E2"/>
    <w:rsid w:val="002A33B1"/>
    <w:rsid w:val="002C3AE7"/>
    <w:rsid w:val="002C64F7"/>
    <w:rsid w:val="002F41F2"/>
    <w:rsid w:val="00301BF3"/>
    <w:rsid w:val="0030208D"/>
    <w:rsid w:val="00313D23"/>
    <w:rsid w:val="00323418"/>
    <w:rsid w:val="003357BF"/>
    <w:rsid w:val="00353E67"/>
    <w:rsid w:val="0036350D"/>
    <w:rsid w:val="00364FAD"/>
    <w:rsid w:val="0036738F"/>
    <w:rsid w:val="0036759C"/>
    <w:rsid w:val="0036791C"/>
    <w:rsid w:val="00367AE5"/>
    <w:rsid w:val="00367D71"/>
    <w:rsid w:val="0038150A"/>
    <w:rsid w:val="0038328E"/>
    <w:rsid w:val="003A3234"/>
    <w:rsid w:val="003A451C"/>
    <w:rsid w:val="003B6E75"/>
    <w:rsid w:val="003B7DA1"/>
    <w:rsid w:val="003D0379"/>
    <w:rsid w:val="003D2574"/>
    <w:rsid w:val="003D4C59"/>
    <w:rsid w:val="003F4267"/>
    <w:rsid w:val="00404032"/>
    <w:rsid w:val="0040736F"/>
    <w:rsid w:val="00407C30"/>
    <w:rsid w:val="00412C1F"/>
    <w:rsid w:val="004148D4"/>
    <w:rsid w:val="00421CB2"/>
    <w:rsid w:val="004268B9"/>
    <w:rsid w:val="00433B96"/>
    <w:rsid w:val="004440F1"/>
    <w:rsid w:val="004456DD"/>
    <w:rsid w:val="00446CDF"/>
    <w:rsid w:val="004521B7"/>
    <w:rsid w:val="00462AB5"/>
    <w:rsid w:val="00465EAF"/>
    <w:rsid w:val="004738C5"/>
    <w:rsid w:val="004877B7"/>
    <w:rsid w:val="00487DB0"/>
    <w:rsid w:val="00491046"/>
    <w:rsid w:val="004A2AC7"/>
    <w:rsid w:val="004A6D2F"/>
    <w:rsid w:val="004C2887"/>
    <w:rsid w:val="004C73AE"/>
    <w:rsid w:val="004D2626"/>
    <w:rsid w:val="004D676F"/>
    <w:rsid w:val="004D6E26"/>
    <w:rsid w:val="004D77D3"/>
    <w:rsid w:val="004E2959"/>
    <w:rsid w:val="004F20EF"/>
    <w:rsid w:val="0050321C"/>
    <w:rsid w:val="005379EF"/>
    <w:rsid w:val="00544956"/>
    <w:rsid w:val="0054712D"/>
    <w:rsid w:val="00547EF6"/>
    <w:rsid w:val="005545A4"/>
    <w:rsid w:val="00554D50"/>
    <w:rsid w:val="005570B5"/>
    <w:rsid w:val="00567E18"/>
    <w:rsid w:val="00575F5F"/>
    <w:rsid w:val="0057629A"/>
    <w:rsid w:val="00581805"/>
    <w:rsid w:val="0058307E"/>
    <w:rsid w:val="00585F76"/>
    <w:rsid w:val="00590014"/>
    <w:rsid w:val="005A34E4"/>
    <w:rsid w:val="005B17F2"/>
    <w:rsid w:val="005B7FB0"/>
    <w:rsid w:val="005C35A5"/>
    <w:rsid w:val="005C577C"/>
    <w:rsid w:val="005D0621"/>
    <w:rsid w:val="005D1E27"/>
    <w:rsid w:val="005D2A3E"/>
    <w:rsid w:val="005E022E"/>
    <w:rsid w:val="005E5215"/>
    <w:rsid w:val="005F49C0"/>
    <w:rsid w:val="005F7F7E"/>
    <w:rsid w:val="00614693"/>
    <w:rsid w:val="006174F5"/>
    <w:rsid w:val="00623C2F"/>
    <w:rsid w:val="00633578"/>
    <w:rsid w:val="00637068"/>
    <w:rsid w:val="00650811"/>
    <w:rsid w:val="00661D3E"/>
    <w:rsid w:val="00663247"/>
    <w:rsid w:val="00680620"/>
    <w:rsid w:val="00683A3A"/>
    <w:rsid w:val="00692627"/>
    <w:rsid w:val="006969E7"/>
    <w:rsid w:val="006A3643"/>
    <w:rsid w:val="006C124D"/>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3853"/>
    <w:rsid w:val="0076655C"/>
    <w:rsid w:val="007742DC"/>
    <w:rsid w:val="0078618C"/>
    <w:rsid w:val="00791437"/>
    <w:rsid w:val="007B0C2C"/>
    <w:rsid w:val="007B278E"/>
    <w:rsid w:val="007C5C23"/>
    <w:rsid w:val="007E25A1"/>
    <w:rsid w:val="007E2A26"/>
    <w:rsid w:val="007F2348"/>
    <w:rsid w:val="0080118A"/>
    <w:rsid w:val="00803F07"/>
    <w:rsid w:val="0080749A"/>
    <w:rsid w:val="00821FB8"/>
    <w:rsid w:val="00822ACD"/>
    <w:rsid w:val="00855C66"/>
    <w:rsid w:val="00871EE4"/>
    <w:rsid w:val="008B293F"/>
    <w:rsid w:val="008B37F1"/>
    <w:rsid w:val="008B7371"/>
    <w:rsid w:val="008D3DDB"/>
    <w:rsid w:val="008D403F"/>
    <w:rsid w:val="008F573F"/>
    <w:rsid w:val="008F6D49"/>
    <w:rsid w:val="009034EC"/>
    <w:rsid w:val="0093067A"/>
    <w:rsid w:val="00941C60"/>
    <w:rsid w:val="00966D42"/>
    <w:rsid w:val="00971689"/>
    <w:rsid w:val="00973E90"/>
    <w:rsid w:val="00975B07"/>
    <w:rsid w:val="00980B4A"/>
    <w:rsid w:val="0099726F"/>
    <w:rsid w:val="009E3D0A"/>
    <w:rsid w:val="009E51FC"/>
    <w:rsid w:val="009F1D28"/>
    <w:rsid w:val="009F6F72"/>
    <w:rsid w:val="009F7618"/>
    <w:rsid w:val="00A04D23"/>
    <w:rsid w:val="00A06766"/>
    <w:rsid w:val="00A13765"/>
    <w:rsid w:val="00A21B12"/>
    <w:rsid w:val="00A23F80"/>
    <w:rsid w:val="00A46E98"/>
    <w:rsid w:val="00A6352B"/>
    <w:rsid w:val="00A701B5"/>
    <w:rsid w:val="00A71082"/>
    <w:rsid w:val="00A714BB"/>
    <w:rsid w:val="00A92D8F"/>
    <w:rsid w:val="00AB2988"/>
    <w:rsid w:val="00AB2B5C"/>
    <w:rsid w:val="00AB7999"/>
    <w:rsid w:val="00AC3A23"/>
    <w:rsid w:val="00AC5EA3"/>
    <w:rsid w:val="00AD3292"/>
    <w:rsid w:val="00AE22A2"/>
    <w:rsid w:val="00AE44D0"/>
    <w:rsid w:val="00AE7AF0"/>
    <w:rsid w:val="00AF71E3"/>
    <w:rsid w:val="00B30224"/>
    <w:rsid w:val="00B500CA"/>
    <w:rsid w:val="00B72A15"/>
    <w:rsid w:val="00B86314"/>
    <w:rsid w:val="00BA07BD"/>
    <w:rsid w:val="00BA1C2E"/>
    <w:rsid w:val="00BA42DF"/>
    <w:rsid w:val="00BC200B"/>
    <w:rsid w:val="00BC4756"/>
    <w:rsid w:val="00BC5707"/>
    <w:rsid w:val="00BC69A4"/>
    <w:rsid w:val="00BE0680"/>
    <w:rsid w:val="00BE305F"/>
    <w:rsid w:val="00BE7BA3"/>
    <w:rsid w:val="00BF5682"/>
    <w:rsid w:val="00BF65CC"/>
    <w:rsid w:val="00BF7B09"/>
    <w:rsid w:val="00C062A5"/>
    <w:rsid w:val="00C20A95"/>
    <w:rsid w:val="00C2692F"/>
    <w:rsid w:val="00C3207C"/>
    <w:rsid w:val="00C400E1"/>
    <w:rsid w:val="00C40489"/>
    <w:rsid w:val="00C41187"/>
    <w:rsid w:val="00C63C31"/>
    <w:rsid w:val="00C757A0"/>
    <w:rsid w:val="00C760DE"/>
    <w:rsid w:val="00C82630"/>
    <w:rsid w:val="00C84A6B"/>
    <w:rsid w:val="00C85B4E"/>
    <w:rsid w:val="00C86EED"/>
    <w:rsid w:val="00C904CC"/>
    <w:rsid w:val="00C907F7"/>
    <w:rsid w:val="00CA2103"/>
    <w:rsid w:val="00CB064B"/>
    <w:rsid w:val="00CB6B99"/>
    <w:rsid w:val="00CE4C87"/>
    <w:rsid w:val="00CE544A"/>
    <w:rsid w:val="00CF4DFD"/>
    <w:rsid w:val="00D11E1C"/>
    <w:rsid w:val="00D160B0"/>
    <w:rsid w:val="00D17F94"/>
    <w:rsid w:val="00D204B4"/>
    <w:rsid w:val="00D223FC"/>
    <w:rsid w:val="00D260AE"/>
    <w:rsid w:val="00D26D1E"/>
    <w:rsid w:val="00D377B9"/>
    <w:rsid w:val="00D474CF"/>
    <w:rsid w:val="00D529E9"/>
    <w:rsid w:val="00D5547E"/>
    <w:rsid w:val="00D76ABC"/>
    <w:rsid w:val="00D84F5D"/>
    <w:rsid w:val="00D869A1"/>
    <w:rsid w:val="00D877CD"/>
    <w:rsid w:val="00DA413F"/>
    <w:rsid w:val="00DA4584"/>
    <w:rsid w:val="00DA614B"/>
    <w:rsid w:val="00DC3060"/>
    <w:rsid w:val="00DE0FB2"/>
    <w:rsid w:val="00DF093E"/>
    <w:rsid w:val="00E01573"/>
    <w:rsid w:val="00E01F42"/>
    <w:rsid w:val="00E206D6"/>
    <w:rsid w:val="00E3366E"/>
    <w:rsid w:val="00E4545C"/>
    <w:rsid w:val="00E45EE5"/>
    <w:rsid w:val="00E52086"/>
    <w:rsid w:val="00E543A6"/>
    <w:rsid w:val="00E60479"/>
    <w:rsid w:val="00E61D73"/>
    <w:rsid w:val="00E73684"/>
    <w:rsid w:val="00E818D6"/>
    <w:rsid w:val="00E8225F"/>
    <w:rsid w:val="00E87F7A"/>
    <w:rsid w:val="00E96BD7"/>
    <w:rsid w:val="00EA0DB1"/>
    <w:rsid w:val="00EA0EE9"/>
    <w:rsid w:val="00EB6011"/>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863F0"/>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59"/>
    <w:rsid w:val="000C1A16"/>
    <w:rPr>
      <w:rFonts w:eastAsia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2A15"/>
    <w:rPr>
      <w:rFonts w:eastAsia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A3234"/>
    <w:rPr>
      <w:rFonts w:eastAsia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59"/>
    <w:rsid w:val="000C1A16"/>
    <w:rPr>
      <w:rFonts w:eastAsia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2A15"/>
    <w:rPr>
      <w:rFonts w:eastAsia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A3234"/>
    <w:rPr>
      <w:rFonts w:eastAsia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B380-F626-425D-A225-6386C3C2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E5ED243</Template>
  <TotalTime>6</TotalTime>
  <Pages>5</Pages>
  <Words>1539</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sclaridge</cp:lastModifiedBy>
  <cp:revision>4</cp:revision>
  <cp:lastPrinted>2016-10-12T13:27:00Z</cp:lastPrinted>
  <dcterms:created xsi:type="dcterms:W3CDTF">2016-11-21T16:34:00Z</dcterms:created>
  <dcterms:modified xsi:type="dcterms:W3CDTF">2016-11-25T10:29:00Z</dcterms:modified>
</cp:coreProperties>
</file>